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كراهية الطلاق-تفريع أبواب الطلاق-سنن أبي داود — رقم الحديث: 2177 — الرقم الفرعي: 99 — الرقم الأصلي: 2177</w:t>
        <w:br/>
      </w:r>
      <w:r>
        <w:rPr>
          <w:rtl w:val="1"/>
        </w:rPr>
        <w:t xml:space="preserve"> حدثنا أحمد بن يونس ثنا مُعرّف عن محارب قال:قال رسول الله صلى الله عليه وسلم</w:t>
        <w:br/>
      </w:r>
      <w:r>
        <w:rPr>
          <w:color w:val="FF0000"/>
          <w:rtl w:val="1"/>
        </w:rPr>
        <w:t xml:space="preserve">«ما أَحلَّ اللهُ شيئًا أَبغضَ إليه مِن الطَّلاق».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مشروعيته - الطلاق</w:t>
      </w:r>
    </w:p>
    <w:p>
      <w:pPr>
        <w:bidi w:val="1"/>
        <w:jc w:val="start"/>
      </w:pPr>
      <w:r>
        <w:rPr>
          <w:rtl w:val="1"/>
        </w:rPr>
        <w:t>الشرح: الدلالة: التدابير الشرعية للحد من الطلاق - الطلاق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