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ذي الوجهين-كتاب الأدب-سنن أبي داود — رقم الحديث: 4873 — الرقم الفرعي: 99 — الرقم الأصلي: 4873</w:t>
        <w:br/>
      </w:r>
      <w:r>
        <w:rPr>
          <w:rtl w:val="1"/>
        </w:rPr>
        <w:t xml:space="preserve"> حدثنا أبو بكر بن أبي شيبة ثنا شريك عن الركين بن الربيع عن نعيم بن حنظلة عن عمار قال:قال رسول الله صلى الله عليه وسلم</w:t>
        <w:br/>
      </w:r>
      <w:r>
        <w:rPr>
          <w:color w:val="FF0000"/>
          <w:rtl w:val="1"/>
        </w:rPr>
        <w:t xml:space="preserve">«مَن كان له وَجَهان في الدنيا، كان له يومَ القِيامة لِسانان مِن نارٍ».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الصدق في عرض الحقائق وتفسير الأحداث</w:t>
      </w:r>
    </w:p>
    <w:p>
      <w:pPr>
        <w:bidi w:val="1"/>
        <w:jc w:val="start"/>
      </w:pPr>
      <w:r>
        <w:rPr>
          <w:rtl w:val="1"/>
        </w:rPr>
        <w:t>الشرح: الدلالة: نفاق اللسان - النفاق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** عقوبات في النار من جنس العمل - * صور من عذاب أهل النار </w:t>
      </w:r>
    </w:p>
    <w:p>
      <w:pPr>
        <w:bidi w:val="1"/>
        <w:jc w:val="start"/>
      </w:pPr>
      <w:r>
        <w:rPr>
          <w:rtl w:val="1"/>
        </w:rPr>
        <w:t>الشرح: الدلالة: * صور الكافر في النار (شكله وحجمه) - تاسعًا: أهل النار</w:t>
      </w:r>
    </w:p>
    <w:p>
      <w:pPr>
        <w:bidi w:val="1"/>
        <w:jc w:val="start"/>
      </w:pPr>
      <w:r>
        <w:rPr>
          <w:rtl w:val="1"/>
        </w:rPr>
        <w:t>الشرح: الدلالة: حال ذي الوجهين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