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كان عيش النبيّ صلى الله عليه وسلم-كتاب الرقاق-صحيح البخاري — رقم الحديث: 6460 — الرقم الفرعي: 99 — الرقم الأصلي: 6460</w:t>
        <w:br/>
      </w:r>
      <w:r>
        <w:rPr>
          <w:rtl w:val="1"/>
        </w:rPr>
        <w:t xml:space="preserve"> حدثنا عبد الله بن محمد حدثنا محمد بن فضيل عن أبيه عن عمارة عن أبي زُرْعة عن أبي هريرة رضي الله عنه قال:قال رسول الله صلى الله عليه وسلم</w:t>
        <w:br/>
      </w:r>
      <w:r>
        <w:rPr>
          <w:color w:val="FF0000"/>
          <w:rtl w:val="1"/>
        </w:rPr>
        <w:t xml:space="preserve">«اللهمَّ ارزُقْ آلَ محمَّدٍ قُوتًا».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الحرص على الطيبات والرزق الحلال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التمتع بزينة الله والطيبات من الرزق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الغِنَى غِنَى النفس - قيم القناعة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الزهد في المأكل والمشرب - قيم الزهد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