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علامات النبوّة في الإسلام-كتاب المناقب-صحيح البخاري — رقم الحديث: 3595 — الرقم الفرعي: 99 — الرقم الأصلي: 3595</w:t>
        <w:br/>
      </w:r>
      <w:r>
        <w:rPr>
          <w:rtl w:val="1"/>
        </w:rPr>
        <w:t xml:space="preserve"> حدثني محمد بن الحكم أخبرنا النّضر أخبرنا إسرائيل أخبرنا سعد الطائيّ أخبرنا مُحِلّ بن خليفة عن عَدِيّ بن حاتم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بينا أنا عندَ النبيِّ ﷺ إذ أتاه رجلٌ، فشَكا إليه الفاقةَ،  </w:t>
      </w:r>
      <w:r>
        <w:rPr>
          <w:color w:val="000000"/>
          <w:rtl w:val="1"/>
        </w:rPr>
        <w:t xml:space="preserve">ثمَّ أتاه آخَرُ فشَكا إليه قَطْعَ السَّبِيلِ،  </w:t>
      </w:r>
      <w:r>
        <w:rPr>
          <w:color w:val="FF0000"/>
          <w:rtl w:val="1"/>
        </w:rPr>
        <w:t xml:space="preserve">فقال: «يا عَدِيُّ، هل رأيتَ الحِيرةَ؟» قلتُ: لم أرَها، وقد أُنبِئْتُ عنها، قال: «فإن طالَتْ بكَ حياةٌ لَتَرَيَنَّ الظَّعِينةَ تَرْتَحِلُ مِن الحِيرةِ حتَّى تَطوفَ بالكَعْبةِ، لا تَخافُ أحدًا إلّا الله -  </w:t>
      </w:r>
      <w:r>
        <w:rPr>
          <w:color w:val="FF0000"/>
          <w:rtl w:val="1"/>
        </w:rPr>
        <w:t xml:space="preserve">قلتُ: فيما بيني وبينَ نفْسي: فأينَ دُعّارُ طيِّئٍ الذينَ قد سَعَّروا البلادَ؟! -  </w:t>
      </w:r>
      <w:r>
        <w:rPr>
          <w:color w:val="FF0000"/>
          <w:rtl w:val="1"/>
        </w:rPr>
        <w:t xml:space="preserve">ولَئِن طالَتْ بكَ حياةٌ لَتُفتَتَحَنَّ كُنوزُ كِسْرَى» قلتُ: كِسْرَى بنِ هُرْمُزَ؟ قال: «كِسْرَى بنِ هُرْمُزَ،  </w:t>
      </w:r>
      <w:r>
        <w:rPr>
          <w:color w:val="FF0000"/>
          <w:rtl w:val="1"/>
        </w:rPr>
        <w:t xml:space="preserve">ولَئِن طالَت بكَ حياةٌ لَتَرَيَنَّ الرجلَ يُخرِجُ مِلْءَ كَفِّه مِن ذهبٍ أو فِضّةٍ، يَطْلُبُ مَن يقبَلُه منه، فلا يَجِدُ أحدًا يَقبَلُه منه،  </w:t>
      </w:r>
      <w:r>
        <w:rPr>
          <w:color w:val="000000"/>
          <w:rtl w:val="1"/>
        </w:rPr>
        <w:t xml:space="preserve">ولَيَلْقَيَنَّ اللهَ أحدُكم يومَ يَلْقاه وليس بينَه وبينَه تَرجُمانٌ يُتَرجِمُ له،  </w:t>
      </w:r>
      <w:r>
        <w:rPr>
          <w:color w:val="000000"/>
          <w:rtl w:val="1"/>
        </w:rPr>
        <w:t xml:space="preserve">فلَيقُولَنَّ له: ألم أبعَث إليكَ رسولًا فيُبلِّغَكَ؟ فيقول: بَلَى،  </w:t>
      </w:r>
      <w:r>
        <w:rPr>
          <w:color w:val="000000"/>
          <w:rtl w:val="1"/>
        </w:rPr>
        <w:t xml:space="preserve">فيقول: ألم أُعْطِكَ مالًا وأُفضِلْ عليكَ؟ فيقول: بَلَى،  </w:t>
      </w:r>
      <w:r>
        <w:rPr>
          <w:color w:val="000000"/>
          <w:rtl w:val="1"/>
        </w:rPr>
        <w:t xml:space="preserve">فيَنظُرُ عن يَمِينِه فلا يَرَى إلّا جَهَنَّمَ، ويَنظُرُ عن يَسارِه فلا يَرَى إلّا جَهَنَّمَ»،  </w:t>
      </w:r>
      <w:r>
        <w:rPr>
          <w:color w:val="000000"/>
          <w:rtl w:val="1"/>
        </w:rPr>
        <w:t xml:space="preserve">قال عَدِيٌّ: سمعتُ النبيَّ ﷺ يقول:  </w:t>
      </w:r>
      <w:r>
        <w:rPr>
          <w:color w:val="FF0000"/>
          <w:rtl w:val="1"/>
        </w:rPr>
        <w:t xml:space="preserve">«اتَّقُوا النارَ ولو بِشقّة تَمْرةٍ، فمَن لم يَجِد شِقَّةَ تَمْرةٍ فبِكلمةٍ طيِّبةٍ». </w:t>
      </w:r>
      <w:r>
        <w:rPr>
          <w:color w:val="FF0000"/>
          <w:rtl w:val="1"/>
        </w:rPr>
        <w:t xml:space="preserve">قال عَدِيٌّ: فرأيتُ الظَّعِينةَ تَرتَحِلُ مِن الحِيرةِ حتَّى تَطوفَ بالكَعْبةِ، لا تَخافُ إلّا اللهَ،  </w:t>
      </w:r>
      <w:r>
        <w:rPr>
          <w:color w:val="FF0000"/>
          <w:rtl w:val="1"/>
        </w:rPr>
        <w:t xml:space="preserve">وكنتُ فيمَنِ افتَتَحَ كُنوزَ كِسْرَى بنِ هُرْمُزَ،  </w:t>
      </w:r>
      <w:r>
        <w:rPr>
          <w:color w:val="FF0000"/>
          <w:rtl w:val="1"/>
        </w:rPr>
        <w:t xml:space="preserve">ولَئِن طالَت بكم حياةٌ لَتَرَوُنَّ ما قال النبيُّ أبو القاسمِ ﷺ: «يُخرِجُ مِلْءَ كَفِّه». </w:t>
      </w:r>
      <w:r>
        <w:rPr>
          <w:color w:val="000000"/>
          <w:rtl w:val="1"/>
        </w:rPr>
        <w:t xml:space="preserve">حدَّثني عبدُ الله، حدَّثنا أبو عاصمٍ، أخبرنا سَعْدانُ بنُ بِشْرٍ، حدَّثنا أبو مجاهدٍ، حدَّثنا مُحِلُّ بنُ خَلِيفةَ، سمعتُ عَدِيًّا: كنتُ عندَ النبيِّ ﷺ. </w:t>
      </w:r>
    </w:p>
    <w:p>
      <w:pPr>
        <w:bidi w:val="1"/>
        <w:jc w:val="start"/>
      </w:pPr>
      <w:r>
        <w:rPr>
          <w:rtl w:val="1"/>
        </w:rPr>
        <w:t>الشرح: الدلالة: إخباره عن بعض الغيبيات وقد وقعت كما أخبر - دلائل نبوته عليه السلام ومعجزاته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الحاجة إلى الأمن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الخلقية - الأهداف</w:t>
      </w:r>
    </w:p>
    <w:p>
      <w:pPr>
        <w:bidi w:val="1"/>
        <w:jc w:val="start"/>
      </w:pPr>
      <w:r>
        <w:rPr>
          <w:rtl w:val="1"/>
        </w:rPr>
        <w:t>الشرح: الدلالة: الجغرافيا وعلوم البيئة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اليقين بالله - القيم الإيمانية</w:t>
      </w:r>
    </w:p>
    <w:p>
      <w:pPr>
        <w:bidi w:val="1"/>
        <w:jc w:val="start"/>
      </w:pPr>
      <w:r>
        <w:rPr>
          <w:rtl w:val="1"/>
        </w:rPr>
        <w:t>الشرح: الدلالة: الأمل بالنصر والتمكين - قيم الأمل والتفاؤل</w:t>
      </w:r>
    </w:p>
    <w:p>
      <w:pPr>
        <w:bidi w:val="1"/>
        <w:jc w:val="start"/>
      </w:pPr>
      <w:r>
        <w:rPr>
          <w:rtl w:val="1"/>
        </w:rPr>
        <w:t>الشرح: الدلالة: الفصل الثاني: بشائر انتصار الإسلام وتمكينه في الأرض - البشائر في انتصار الإسلام وتمكينه وقيام الخلافة الراشدة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