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كراهية تلقّي البيوع-كتاب البيوع-سنن الترمذي — رقم الحديث: 1221 — الرقم الفرعي: 99 — الرقم الأصلي: 1221</w:t>
        <w:br/>
      </w:r>
      <w:r>
        <w:rPr>
          <w:rtl w:val="1"/>
        </w:rPr>
        <w:t xml:space="preserve"> حدثنا سلمة بن شبيب حدثنا عبد الله بن جعفر الرقيّ حدثنا عبيدالله بن عمرو عن أيوب عن محمد بن سيرين عن أبي هريرة</w:t>
        <w:br/>
      </w:r>
      <w:r>
        <w:rPr>
          <w:color w:val="FF0000"/>
          <w:rtl w:val="1"/>
        </w:rPr>
        <w:t xml:space="preserve">أنَّ النّبيَّ ﷺ نَهى أن يُتلقَّى الجَلَب،  </w:t>
      </w:r>
      <w:r>
        <w:rPr>
          <w:color w:val="FF0000"/>
          <w:rtl w:val="1"/>
        </w:rPr>
        <w:t xml:space="preserve">فإن تلَقَّاهُ إنسانٌ فابتاعَه فصاحِبُ السِّلعةِ فيها بالخِيار إذا وَرَدَ السُّوق.  </w:t>
      </w:r>
      <w:r>
        <w:rPr>
          <w:color w:val="000000"/>
          <w:rtl w:val="1"/>
        </w:rPr>
        <w:t xml:space="preserve">هذا حديثٌ حسنٌ غريبٌ من حديثِ أَيوب.  </w:t>
      </w:r>
      <w:r>
        <w:rPr>
          <w:color w:val="000000"/>
          <w:rtl w:val="1"/>
        </w:rPr>
        <w:t xml:space="preserve">وحديثُ ابنِ مسعودٍ حديثٌ حسنٌ صحيح.  </w:t>
      </w:r>
      <w:r>
        <w:rPr>
          <w:color w:val="FF0000"/>
          <w:rtl w:val="1"/>
        </w:rPr>
        <w:t xml:space="preserve">وقد كَرِهَ قومٌ من أَهلِ العِلمِ تَلَقِّي البُيوع، وهو ضربٌ من الخَدِيعة،  </w:t>
      </w:r>
      <w:r>
        <w:rPr>
          <w:color w:val="000000"/>
          <w:rtl w:val="1"/>
        </w:rPr>
        <w:t xml:space="preserve">وهو قولُ الشافعيِّ وغيرِه من أَصحابِنا.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عدم الغش والتغرير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تلقي الجلب أو الركبان أو السلع - ما يؤدي إلى تضييق أو إيذاء أو ضرر مادي أو معنوي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