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ذكر في ذهاب موسى صلى الله عليه،في البحر إلى الخضر-كتاب العلم-صحيح البخاري — رقم الحديث: 74 — الرقم الفرعي: 99 — الرقم الأصلي: 74</w:t>
        <w:br/>
      </w:r>
      <w:r>
        <w:rPr>
          <w:rtl w:val="1"/>
        </w:rPr>
        <w:t xml:space="preserve"> حدثني محمد بن غُرَير الزهريّ قال:حدثنا يعقوب بن إبراهيم قال:حدثني أبي عن صالح عن ابن شهاب حدث أن عبيد الله بن عبد الله أخبره عن ابن عباس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أنَّه تَمارَى هو والحُرُّ بنُ قيسِ بنِ حِصْنٍ الفَزَاريُّ في صاحبِ موسى، قال ابنُ عبَّاسٍ: هو خَضِرٌ،  </w:t>
      </w:r>
      <w:r>
        <w:rPr>
          <w:color w:val="FF0000"/>
          <w:rtl w:val="1"/>
        </w:rPr>
        <w:t xml:space="preserve">فمَرَّ بهما أُبيُّ بنُ كَعْبٍ، فدَعَاه ابنُ عبَّاسٍ، فقال: إنّي تَمارَيتُ أنا وصاحبي هذا في صاحبِ موسى الَّذي سألَ موسى السَّبِيلَ إلى لُقِيِّه، هل سمعتَ النبيَّ ﷺ يَذكُرُ شأنَه؟ قال: نعم، سمعتُ رسولَ الله ﷺ يقولُ:  </w:t>
      </w:r>
      <w:r>
        <w:rPr>
          <w:color w:val="FF0000"/>
          <w:rtl w:val="1"/>
        </w:rPr>
        <w:t xml:space="preserve">«بينَما موسى في مَلإٍ مِن بني إسرائيلَ جاءَه رجلٌ فقال: هل تَعلَمُ أحداً أعلَمَ منكَ؟ قال موسى: لا، فأوحَى اللهُ عزَّ وجلَّ إلى موسى: بَلَى، عَبْدُنا خَضِرٌ، فسألَ موسى السَّبِيلَ إليه، فجَعَلَ اللهُ له الحُوتَ آيةً،  </w:t>
      </w:r>
      <w:r>
        <w:rPr>
          <w:color w:val="FF0000"/>
          <w:rtl w:val="1"/>
        </w:rPr>
        <w:t xml:space="preserve">وقيلَ له: إذا فَقَدْتَ الحُوتَ فارجِعْ فإنَّكَ سَتَلْقاه، وكان يَتَّبِعُ أثرَ الحُوتِ في البحرِ،  </w:t>
      </w:r>
      <w:r>
        <w:rPr>
          <w:color w:val="FF0000"/>
          <w:rtl w:val="1"/>
        </w:rPr>
        <w:t xml:space="preserve">فقال لموسى فتاهُ: {أَرَأَيْتَ إِذْ أَوَيْنَا إِلَى الصَّخْرَةِ فَإِنِّي نَسِيتُ الْحُوتَ وَمَا أَنسانِيهِ إِلَّا الشَّيْطَانُ أَنْ أَذْكُرَهُ} [الكهف: (63)]، {قَالَ ذَلِكَ مَا كُنَّا نَبْغِ فَارْتَدَّا عَلَى آثَارِهِمَا قَصَصًا}، فوَجَدَا خَضِراً،  </w:t>
      </w:r>
      <w:r>
        <w:rPr>
          <w:color w:val="FF0000"/>
          <w:rtl w:val="1"/>
        </w:rPr>
        <w:t xml:space="preserve">فكان مِن شأنِهما الَّذي قَصَّ اللهُ عزَّ وجلَّ في كتابِه. 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ما ورد في القراءات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الجوار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القراءات والقراء(انظر ما ورد في القراءات بترتيب المصحف). - الأحرف السبعة والقراءات والقرّاء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الغريب ( الفرد )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المناظرات والحوار-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شيخ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القلب - طرق المعرفة</w:t>
      </w:r>
    </w:p>
    <w:p>
      <w:pPr>
        <w:bidi w:val="1"/>
        <w:jc w:val="start"/>
      </w:pPr>
      <w:r>
        <w:rPr>
          <w:rtl w:val="1"/>
        </w:rPr>
        <w:t>الشرح: الدلالة: الإلقاء في الروع (النفث في القلب) - الوحي عن طريق جبريل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