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لبس النعال وما في معناها-كتاب اللباس والزينة-صحيح مسلم — رقم الحديث: 2096 — الرقم الفرعي: 99 — الرقم الأصلي: 2096</w:t>
        <w:br/>
      </w:r>
      <w:r>
        <w:rPr>
          <w:rtl w:val="1"/>
        </w:rPr>
        <w:t xml:space="preserve"> حدثني سلمة بن شَبيب حدثنا الحسن بن أعْيَن حدثنا مَعْقِل عن أبي الزبير عن جابر قال:سمعت النبيّ صلى الله عليه وسلم</w:t>
        <w:br/>
      </w:r>
      <w:r>
        <w:rPr>
          <w:color w:val="000000"/>
          <w:rtl w:val="1"/>
        </w:rPr>
        <w:t xml:space="preserve">يقول في غزوةٍ غَزَوناها:  </w:t>
      </w:r>
      <w:r>
        <w:rPr>
          <w:color w:val="FF0000"/>
          <w:rtl w:val="1"/>
        </w:rPr>
        <w:t xml:space="preserve">«استَكثِرُوا من النِّعَال، فإن الرجلَ لا يَزالُ راكِبًا ما انْتَعَلَ». 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قيمة الوقاية بالانتعال - قيم الوقاية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