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المرأة هل تنقض شعرها عند الغسل ؟-كتاب الطهارة-سنن أبي داود — رقم الحديث: 254 — الرقم الفرعي: 99 — الرقم الأصلي: 254</w:t>
        <w:br/>
      </w:r>
      <w:r>
        <w:rPr>
          <w:rtl w:val="1"/>
        </w:rPr>
        <w:t xml:space="preserve"> حدثنا نصر بن عليّ ثنا عبد الله بن داود عن عمر بن سويد عن عائشة بنت طلحة عن عائشة رضي الله عنها</w:t>
        <w:br/>
      </w:r>
      <w:r>
        <w:rPr>
          <w:color w:val="FF0000"/>
          <w:rtl w:val="1"/>
        </w:rPr>
        <w:t xml:space="preserve">قالت: كُنَّا نَغتَسِلُ وعلينا الضِّمادُ، ونحنُ معَ رسولِ الله ﷺ مُحِلاتٍ ومُحرِماتٍ.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الاغتسال وغسل الثياب - مباحات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