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الركعتين قبل الفجر-كتاب إقامة الصلاة-سنن ابن ماجة — رقم الحديث: 1146 — الرقم الفرعي: 99 — الرقم الأصلي: 1146</w:t>
        <w:br/>
      </w:r>
      <w:r>
        <w:rPr>
          <w:rtl w:val="1"/>
        </w:rPr>
        <w:t xml:space="preserve"> حدثنا أبو بكر بن أبي شيبة ثنا أبو الأحوص عن أبي أسحاق عن الأسود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النّبيُّ إذا تَوضّأَ صلَّى رَكعتَين، ثم خَرَجَ إلى الصَّلاة.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سنة الفجر - سنة الفجر</w:t>
      </w:r>
    </w:p>
    <w:p>
      <w:pPr>
        <w:bidi w:val="1"/>
        <w:jc w:val="start"/>
      </w:pPr>
      <w:r>
        <w:rPr>
          <w:rtl w:val="1"/>
        </w:rPr>
        <w:t xml:space="preserve">الشرح: الدلالة: صلاة سنة الوضوء - النوافل بسبب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سنة الوضوء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