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محمد بن أبي يعقوب ،في حديث أبي أمامة في فضل الصائم-كتاب الصيام-سنن النسائي — رقم الحديث: 2234 — الرقم الفرعي: 99 — الرقم الأصلي: 2234</w:t>
        <w:br/>
      </w:r>
      <w:r>
        <w:rPr>
          <w:rtl w:val="1"/>
        </w:rPr>
        <w:t xml:space="preserve"> أخبرنا محمد بن يزيد الآدميّ قال:حدثنا معن عن خارجة بن سليمان عن يزيد بن رومان عن عروة عن عائشة عن النبيّ صلى الله عليه وسلم</w:t>
        <w:br/>
      </w:r>
      <w:r>
        <w:rPr>
          <w:color w:val="FF0000"/>
          <w:rtl w:val="1"/>
        </w:rPr>
        <w:t xml:space="preserve">قال: «الصِّيَامُ جُنَّةٌ مِن النَّارِ،  </w:t>
      </w:r>
      <w:r>
        <w:rPr>
          <w:color w:val="000000"/>
          <w:rtl w:val="1"/>
        </w:rPr>
        <w:t xml:space="preserve">فمَن أَصبَحَ صَائِمًا، فلا يَجهَل يَومَئِذٍ،  </w:t>
      </w:r>
      <w:r>
        <w:rPr>
          <w:color w:val="000000"/>
          <w:rtl w:val="1"/>
        </w:rPr>
        <w:t xml:space="preserve">وإِنِ امرُؤٌ جَهِلَ عَلَيه فلا يَشتُمه ولا يَسُبَّه، وليَقُل: إِنِّي صَائِمٌ،  </w:t>
      </w:r>
      <w:r>
        <w:rPr>
          <w:color w:val="000000"/>
          <w:rtl w:val="1"/>
        </w:rPr>
        <w:t xml:space="preserve">والذي نَفسُ مُحمَّدٍ بِيَدِه، لَخُلُوفُ فَمِ الصَّائِمِ أَطيَبُ عِندَ اللَّهِ مِن رِيحِ المِسكِ».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