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الجنائز-سنن الترمذي — رقم الحديث: 1018 — الرقم الفرعي: 99 — الرقم الأصلي: 1018</w:t>
        <w:br/>
      </w:r>
      <w:r>
        <w:rPr>
          <w:rtl w:val="1"/>
        </w:rPr>
        <w:t xml:space="preserve"> حدثنا أبو كريب حدثنا أبو معاوية عن عبد الرحمن بن أبي بكر عن أبي مليكة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قُبِضَ رَسولُ الله ﷺ اختَلَفوا في دَفنِه،  </w:t>
      </w:r>
      <w:r>
        <w:rPr>
          <w:color w:val="FF0000"/>
          <w:rtl w:val="1"/>
        </w:rPr>
        <w:t xml:space="preserve">فقال أبو بكر: سَمِعتُ مِن رَسولِ الله ﷺ شيئًا ما نَسِيتُه،  </w:t>
      </w:r>
      <w:r>
        <w:rPr>
          <w:color w:val="FF0000"/>
          <w:rtl w:val="1"/>
        </w:rPr>
        <w:t xml:space="preserve">قال: «ما قَبَضَ اللهُ نبيًّا إلّا في المَوضِع الذي يُحبُّ أن يُدفَنَ فيه».  </w:t>
      </w:r>
      <w:r>
        <w:rPr>
          <w:color w:val="FF0000"/>
          <w:rtl w:val="1"/>
        </w:rPr>
        <w:t xml:space="preserve">ادفِنُوهُ في مَوضِع فِراشِه.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وعبدُ الرَّحمن بن أبي بكرٍ المُلَيكِيُّ يُضعَّفُ مِن قِبَلِ حِفظِه. </w:t>
      </w:r>
      <w:r>
        <w:rPr>
          <w:color w:val="000000"/>
          <w:rtl w:val="1"/>
        </w:rPr>
        <w:t xml:space="preserve">وقد رُوي هذا الحديثُ مِن غير هذا الوجه، رواه ابنُ عبّاس، عن أَبي بكرٍ الصِّدِّيق، عن النّبيِّ ﷺ.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