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4792 — الرقم الفرعي: 99 — الرقم الأصلي: 4792</w:t>
        <w:br/>
      </w:r>
      <w:r>
        <w:rPr>
          <w:rtl w:val="1"/>
        </w:rPr>
        <w:t xml:space="preserve"> حدثنا سليمان بن حرب حدثنا حمّاد بن زيد عن أيوب عن أبي قِلابة قال: قال أنس بن مالك</w:t>
        <w:br/>
      </w:r>
      <w:r>
        <w:rPr>
          <w:color w:val="FF0000"/>
          <w:rtl w:val="1"/>
        </w:rPr>
        <w:t xml:space="preserve">أنا أعلَمُ النّاس بهذه الآيةِ، آيةِ الحِجاب،  </w:t>
      </w:r>
      <w:r>
        <w:rPr>
          <w:color w:val="FF0000"/>
          <w:rtl w:val="1"/>
        </w:rPr>
        <w:t xml:space="preserve">لمّا أُهْدِيَتْ زَينَبُ إلى رسولِ الله ﷺ، كانت معه في البيتِ، صَنَعَ طعاماً ودَعا القومَ،  </w:t>
      </w:r>
      <w:r>
        <w:rPr>
          <w:color w:val="FF0000"/>
          <w:rtl w:val="1"/>
        </w:rPr>
        <w:t xml:space="preserve">فقَعَدوا يَتَحدَّثونَ، فجَعَلَ النبيُّ ﷺ يَخرُجُ ثمَّ يَرجِعُ، وهم قُعُودٌ يَتَحدَّثونَ،  </w:t>
      </w:r>
      <w:r>
        <w:rPr>
          <w:color w:val="FF0000"/>
          <w:rtl w:val="1"/>
        </w:rPr>
        <w:t xml:space="preserve">فأنزَلَ اللهُ تعالى: ﴿يَاأَيُّهَا الَّذِينَ آمَنُوا لَا تَدْخُلُوا بُيُوتَ النَّبِيِّ إِلَّا أَنْ يُؤْذَنَ لَكُمْ إِلَى طَعَامٍ غَيْرَ نَاظِرِينَ إِنَاهُ﴾ إلى قولِه: ﴿مِنْ وَرَاءِ حِجَابٍ﴾  </w:t>
      </w:r>
      <w:r>
        <w:rPr>
          <w:color w:val="FF0000"/>
          <w:rtl w:val="1"/>
        </w:rPr>
        <w:t xml:space="preserve">فضُرِبَ الحِجابُ، وقامَ القومُ. 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زينب بنت جحش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فرض الحجاب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