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الخلع-تفريع أبواب الطلاق-سنن أبي داود — رقم الحديث: 2228 — الرقم الفرعي: 99 — الرقم الأصلي: 2228</w:t>
        <w:br/>
      </w:r>
      <w:r>
        <w:rPr>
          <w:rtl w:val="1"/>
        </w:rPr>
        <w:t xml:space="preserve"> حدثنا محمد بن معمر ثنا أبو عامر عبد الملك بن عمرو ثنا أبو عمرو السّدوسيّ المدينيّ عن عبد الله بن أبي بكر بن محمد بن عمرو بن حزم عن عمرة عن عائشة</w:t>
        <w:br/>
      </w:r>
      <w:r>
        <w:rPr>
          <w:color w:val="000000"/>
          <w:rtl w:val="1"/>
        </w:rPr>
        <w:t xml:space="preserve">أنَّ حَبيبةَ بنتَ سَهلٍ كانت عند ثابت بنِ قَيس بنِ شَمَّاس، فضَرَبها فكَسَرَ بعضَها،  </w:t>
      </w:r>
      <w:r>
        <w:rPr>
          <w:color w:val="000000"/>
          <w:rtl w:val="1"/>
        </w:rPr>
        <w:t xml:space="preserve">فأَتتْ رسولَ اللهِ ﷺ بعدَ الصُّبْحِ فاشتَكَتْه إليه،  </w:t>
      </w:r>
      <w:r>
        <w:rPr>
          <w:color w:val="FF0000"/>
          <w:rtl w:val="1"/>
        </w:rPr>
        <w:t xml:space="preserve">فدَعا النّبيُّ ﷺ ثابتًا فقال: «خُذْ بَعضَ مالِها وفارِقْها» فقال: ويَصْلُح ذلك يا رسولَ الله؟ قال «نعم»،  </w:t>
      </w:r>
      <w:r>
        <w:rPr>
          <w:color w:val="FF0000"/>
          <w:rtl w:val="1"/>
        </w:rPr>
        <w:t xml:space="preserve">قال: فإنِّي أَصْدَقتُها حديقَتينِ، وهما بيَدِها،  </w:t>
      </w:r>
      <w:r>
        <w:rPr>
          <w:color w:val="000000"/>
          <w:rtl w:val="1"/>
        </w:rPr>
        <w:t xml:space="preserve">فقال النّبيُّ ﷺ: «خُذْهما وفارِقْها»، ففعل. </w:t>
      </w:r>
    </w:p>
    <w:p>
      <w:pPr>
        <w:bidi w:val="1"/>
        <w:jc w:val="start"/>
      </w:pPr>
      <w:r>
        <w:rPr>
          <w:rtl w:val="1"/>
        </w:rPr>
        <w:t>درجة الحديث: صحيح لغيره</w:t>
      </w:r>
    </w:p>
    <w:p>
      <w:pPr>
        <w:bidi w:val="1"/>
        <w:jc w:val="start"/>
      </w:pPr>
      <w:r>
        <w:rPr>
          <w:rtl w:val="1"/>
        </w:rPr>
        <w:t>الشرح: الدلالة: مشروعية المخالعة - المخالعة</w:t>
      </w:r>
    </w:p>
    <w:p>
      <w:pPr>
        <w:bidi w:val="1"/>
        <w:jc w:val="start"/>
      </w:pPr>
      <w:r>
        <w:rPr>
          <w:rtl w:val="1"/>
        </w:rPr>
        <w:t>الشرح: الدلالة: ما يجوز أن يكون مهراً - المهر</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