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تفسير البرّ والإثم-كتاب البرّ والصلة والآداب-صحيح مسلم — رقم الحديث: 2553 — الرقم الفرعي: 1 — الرقم الأصلي: 2553</w:t>
        <w:br/>
      </w:r>
      <w:r>
        <w:rPr>
          <w:rtl w:val="1"/>
        </w:rPr>
        <w:t xml:space="preserve"> حدثني محمد بن حاتم بن ميمون حدثنا ابن مهديّ عن معاوية بن صالح عن عبد الرحمن بن جُبَيْر بن نُفَيْر عن أبيه عن النّوّاس بن سَمعان الأنصاريّ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رسولَ اللهِ ﷺ، عن البِرِّ والإثم،  </w:t>
      </w:r>
      <w:r>
        <w:rPr>
          <w:color w:val="FF0000"/>
          <w:rtl w:val="1"/>
        </w:rPr>
        <w:t xml:space="preserve">فقال: «البِرُّ حُسنُ الخُلُق،  </w:t>
      </w:r>
      <w:r>
        <w:rPr>
          <w:color w:val="FF0000"/>
          <w:rtl w:val="1"/>
        </w:rPr>
        <w:t xml:space="preserve">والإثمُ ما حَاكَ في صَدرِكَ، وكَرِهتَ أَن يَطَّلِعَ عليه الناسُ».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فضل البر بالناس عامة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أعمال البر الأخرى (هبات ,قروض ?. الخ)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المعاصي الظاهرة على الجوارح - تقسيم المعاصي باعتبار محلها</w:t>
      </w:r>
    </w:p>
    <w:p>
      <w:pPr>
        <w:bidi w:val="1"/>
        <w:jc w:val="start"/>
      </w:pPr>
      <w:r>
        <w:rPr>
          <w:rtl w:val="1"/>
        </w:rPr>
        <w:t>الشرح: الدلالة: المعاصي الباطنة(القلبية) - تقسيم المعاصي باعتبار محلها</w:t>
      </w:r>
    </w:p>
    <w:p>
      <w:pPr>
        <w:bidi w:val="1"/>
        <w:jc w:val="start"/>
      </w:pPr>
      <w:r>
        <w:rPr>
          <w:rtl w:val="1"/>
        </w:rPr>
        <w:t>الشرح: الدلالة: قيمة الورع في ترك الشبهات - قيم الورع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