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حجّة رسول الله صلى الله عليه وسgم-كتاب المناسك-سنن ابن ماجة — رقم الحديث: 3076 — الرقم الفرعي: 99 — الرقم الأصلي: 3076</w:t>
        <w:br/>
      </w:r>
      <w:r>
        <w:rPr>
          <w:rtl w:val="1"/>
        </w:rPr>
        <w:t xml:space="preserve"> حدثنا القاسم بن محمد بن عبّاد المُهلّبيّ ثنا عبد الله بن داود ثنا سفيان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حَجَّ رسولُ اللَّهِ ﷺ ثَلاثَ حَجَّاتٍ: حَجَّتَينِ قَبلَ أَن يُهاجِرَ، وحَجَّةً بَعدَما هاجَرَ مِن المَدينَةِ،  </w:t>
      </w:r>
      <w:r>
        <w:rPr>
          <w:color w:val="FF0000"/>
          <w:rtl w:val="1"/>
        </w:rPr>
        <w:t xml:space="preserve">وقَرَنَ مع حَجَّتِه عُمرَةً،  </w:t>
      </w:r>
      <w:r>
        <w:rPr>
          <w:color w:val="FF0000"/>
          <w:rtl w:val="1"/>
        </w:rPr>
        <w:t xml:space="preserve">واجتَمَعَ ما جاءَ به النَّبيُّ ﷺ وما جاءَ به عليٌّ مِئَة بَدَنَةٍ، منها جَمَلٌ لأَبي جَهلٍ في أَنفِه بُرَةٌ مِن فِضَّةٍ، فنَحَرَ النَّبيُّ ﷺ بيَدِه ثَلاثًا وسِتِّين، ونَحَرَ عَليٌّ ما غَبَرَ. </w:t>
      </w:r>
      <w:r>
        <w:rPr>
          <w:color w:val="000000"/>
          <w:rtl w:val="1"/>
        </w:rPr>
        <w:t xml:space="preserve">قيل له: مَن ذَكَرَه؟ قال: جَعْفَرٌ، عَن أَبيه، عَن جَابِرٍ. وابنُ أَبِي لَيلَى، عن الحَكَمِ، عن مِقسَمٍ، عن ابنِ عَبَّاسٍ.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أوصاف الهدي - الهدي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