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الساعة التي في يوم الجمعة-كتاب الجمعة-صحيح مسلم — رقم الحديث: 853 — الرقم الفرعي: 99 — الرقم الأصلي: 853</w:t>
        <w:br/>
      </w:r>
      <w:r>
        <w:rPr>
          <w:rtl w:val="1"/>
        </w:rPr>
        <w:t xml:space="preserve"> وحدثني أبو الطاهر و عليّ بن خَشْرم قالا:أخبرنا ابن وهْب عن مَخرَمة بن بُكير ح وحدثنا هارون بن سعيد الأيْليّ و أحمد بن عيسى قالا:حدثنا ابن وهْب أخبرنا مَخرَمة عن أبيه عن أبي بُردة بن أبي موسى الأشعريّ</w:t>
        <w:br/>
      </w:r>
      <w:r>
        <w:rPr>
          <w:color w:val="000000"/>
          <w:rtl w:val="1"/>
        </w:rPr>
        <w:t xml:space="preserve">قال: قال لي عبدُ الله بنُ عُمر:  </w:t>
      </w:r>
      <w:r>
        <w:rPr>
          <w:color w:val="FF0000"/>
          <w:rtl w:val="1"/>
        </w:rPr>
        <w:t xml:space="preserve">أَسَمِعتَ أَباكَ يُحدِّثُ عن رَسولِ الله ﷺ في شأنِ ساعةِ الجُمُعة؟  </w:t>
      </w:r>
      <w:r>
        <w:rPr>
          <w:color w:val="FF0000"/>
          <w:rtl w:val="1"/>
        </w:rPr>
        <w:t xml:space="preserve">قال: قلتُ: نعم، سَمِعتُه يقول: سَمِعتُ رسولَ الله ﷺ يقول:  </w:t>
      </w:r>
      <w:r>
        <w:rPr>
          <w:color w:val="FF0000"/>
          <w:rtl w:val="1"/>
        </w:rPr>
        <w:t xml:space="preserve">«هي ما بَينَ أن يَجلِسَ الإمامُ إلى أن تُقضَى الصَّلاة».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الأوقات التي يستحب فيها الدعاء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الذكر والدعاء في يوم الجمعة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