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رجُلٌ لعبده:هو لله-كتاب العتق-صحيح البخاري — رقم الحديث: 2530 — الرقم الفرعي: 99 — الرقم الأصلي: 2530</w:t>
        <w:br/>
      </w:r>
      <w:r>
        <w:rPr>
          <w:rtl w:val="1"/>
        </w:rPr>
        <w:t xml:space="preserve"> حدثنا محمد بن عبد الله بن نمير عن محمد بن بشر عن إسماعيل عن قيس عن أبي هريرة رضي الله عنه</w:t>
        <w:br/>
      </w:r>
      <w:r>
        <w:rPr>
          <w:color w:val="000000"/>
          <w:rtl w:val="1"/>
        </w:rPr>
        <w:t xml:space="preserve">أنَّه لمّا أقبَلَ يريدُ الإسلامَ ومَعَه غلامُه، ضَلَّ كلُّ واحدٍ منهما مِن صاحبِه،  </w:t>
      </w:r>
      <w:r>
        <w:rPr>
          <w:color w:val="000000"/>
          <w:rtl w:val="1"/>
        </w:rPr>
        <w:t xml:space="preserve">فأقبَلَ بعدَ ذلكَ وأبو هُرَيرةَ جالسٌ معَ النبيِّ ﷺ،  </w:t>
      </w:r>
      <w:r>
        <w:rPr>
          <w:color w:val="000000"/>
          <w:rtl w:val="1"/>
        </w:rPr>
        <w:t xml:space="preserve">فقال النبيُّ ﷺ: «يا أبا هُرَيرةَ، هذا غلامُكَ قد أتاكَ» فقال: أمَا إنّي أُشْهِدُكَ أنَّه حُرٌّ. قال: فهو حينَ يقولُ: </w:t>
      </w:r>
      <w:r>
        <w:rPr>
          <w:color w:val="FF0000"/>
          <w:rtl w:val="1"/>
        </w:rPr>
        <w:t xml:space="preserve">يا ليلةً مِن طُولِها وعَنائِها ... على أنَّها مِن دارَةِ الكفرِ نَجَّتِ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تحرير الإنسان من الرق (المعنوي والمادي).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