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الخمر من العنب-كتاب الأشربة-صحيح البخاري — رقم الحديث: 5580 — الرقم الفرعي: 99 — الرقم الأصلي: 5580</w:t>
        <w:br/>
      </w:r>
      <w:r>
        <w:rPr>
          <w:rtl w:val="1"/>
        </w:rPr>
        <w:t xml:space="preserve"> حدثنا أحمد بن يونس حدثنا أبو شهاب،عبد ربّه بن نافع عن يونس عن ثابت البنانيّ عن أَنسٍ،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حُرِّمَتْ علينا الخمرُ حينَ حُرِّمَتْ،  </w:t>
      </w:r>
      <w:r>
        <w:rPr>
          <w:color w:val="FF0000"/>
          <w:rtl w:val="1"/>
        </w:rPr>
        <w:t xml:space="preserve">وما نَجِدُ، يَعني بالمدينةِ خمرَ الأعناب إلَّا قليلًا،  </w:t>
      </w:r>
      <w:r>
        <w:rPr>
          <w:color w:val="FF0000"/>
          <w:rtl w:val="1"/>
        </w:rPr>
        <w:t xml:space="preserve">وعامّةُ خمرِنا البُسْرُ والتمرُ. 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