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كرهه-كتاب اللباس-سنن أبي داود — رقم الحديث: 4049 — الرقم الفرعي: 99 — الرقم الأصلي: 4049</w:t>
        <w:br/>
      </w:r>
      <w:r>
        <w:rPr>
          <w:rtl w:val="1"/>
        </w:rPr>
        <w:t xml:space="preserve"> حدثنا يزيد بن خالد بن عبد الله بن موهب الهمداني أخبرنا المفضل ملاحظة يعني ابن فضالة عن عياش بن عباس القتباني عن أبي الحصين ملاحظة يعني الهيثم بن شفي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خرجتُ أنا وصاحبٌ لي يُكْنى أبا عامرٍ - رجلٌ من المَعَافِر - لنُصَلِّي بإيلياءَ،  </w:t>
      </w:r>
      <w:r>
        <w:rPr>
          <w:color w:val="000000"/>
          <w:rtl w:val="1"/>
        </w:rPr>
        <w:t xml:space="preserve">وكان قاصَّهم رجلٌ من الأزْدِ يقالُ له أبو رَيحانةَ مِن الصَّحابة،  </w:t>
      </w:r>
      <w:r>
        <w:rPr>
          <w:color w:val="000000"/>
          <w:rtl w:val="1"/>
        </w:rPr>
        <w:t xml:space="preserve">قال أَبو الحُصَينِ: فسَبَقني صاحِبي إلى المسجدِ، ثم رَدِفْتُه فجَلستُ إلى جَنْبه،  </w:t>
      </w:r>
      <w:r>
        <w:rPr>
          <w:color w:val="000000"/>
          <w:rtl w:val="1"/>
        </w:rPr>
        <w:t xml:space="preserve">فسأَلَني: هل أَدركتَ قَصَصَ أَبي رَيحانة؟ قلتُ: لا،  </w:t>
      </w:r>
      <w:r>
        <w:rPr>
          <w:color w:val="000000"/>
          <w:rtl w:val="1"/>
        </w:rPr>
        <w:t xml:space="preserve">قال: سمِعتُه يقولُ:  </w:t>
      </w:r>
      <w:r>
        <w:rPr>
          <w:color w:val="000000"/>
          <w:rtl w:val="1"/>
        </w:rPr>
        <w:t xml:space="preserve">نَهى رسولُ الله ﷺ عن عَشْرٍ:  </w:t>
      </w:r>
      <w:r>
        <w:rPr>
          <w:color w:val="FF0000"/>
          <w:rtl w:val="1"/>
        </w:rPr>
        <w:t xml:space="preserve">عن الوَشْرِ، والوَشْمِ، والنَّتْفِ،  </w:t>
      </w:r>
      <w:r>
        <w:rPr>
          <w:color w:val="000000"/>
          <w:rtl w:val="1"/>
        </w:rPr>
        <w:t xml:space="preserve">وعن مُكامَعَة الرَّجلِ الرَّجلَ بغير شِعارٍ،  </w:t>
      </w:r>
      <w:r>
        <w:rPr>
          <w:color w:val="000000"/>
          <w:rtl w:val="1"/>
        </w:rPr>
        <w:t xml:space="preserve">ومُكامَعةِ المرأةِ المرأةَ بغيرِ شعارٍ،  </w:t>
      </w:r>
      <w:r>
        <w:rPr>
          <w:color w:val="FF0000"/>
          <w:rtl w:val="1"/>
        </w:rPr>
        <w:t xml:space="preserve">وأَن يَجعلَ الرجلُ في أَسفلِ ثيابِه حرِيرًا مِثلَ الأَعاجِمِ،  </w:t>
      </w:r>
      <w:r>
        <w:rPr>
          <w:color w:val="FF0000"/>
          <w:rtl w:val="1"/>
        </w:rPr>
        <w:t xml:space="preserve">أو يَجعلَ على مَنكِبَيه حَريرًا مِثلَ الأَعاجم،  </w:t>
      </w:r>
      <w:r>
        <w:rPr>
          <w:color w:val="000000"/>
          <w:rtl w:val="1"/>
        </w:rPr>
        <w:t xml:space="preserve">وعن النُّهبَى،  </w:t>
      </w:r>
      <w:r>
        <w:rPr>
          <w:color w:val="FF0000"/>
          <w:rtl w:val="1"/>
        </w:rPr>
        <w:t xml:space="preserve">ورُكوبِ النُّمورِ،  </w:t>
      </w:r>
      <w:r>
        <w:rPr>
          <w:color w:val="000000"/>
          <w:rtl w:val="1"/>
        </w:rPr>
        <w:t xml:space="preserve">ولُبوسِ الخاتِمِ إلّا لِذي سُلطان. </w:t>
      </w:r>
      <w:r>
        <w:rPr>
          <w:color w:val="000000"/>
          <w:rtl w:val="1"/>
        </w:rPr>
        <w:t xml:space="preserve">قال أَبو داود: الذي تفرَّدَ بهِ مِن هذا الحديث خَبرُ الخاتِم.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عرقية (عرب وعجم) - خصائص السكان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الزينة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التشبه بغير المسلمين - هيئات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التشبه بغير المسلمين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النهي عن الجلوس على الحرير أو جلود السباع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النمص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الوشم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الوشر والتفلج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المياثر - الفرش والستور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