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1992 — الرقم الفرعي: 99 — الرقم الأصلي: 1355 — ج: 2 — ص: 215</w:t>
        <w:br/>
      </w:r>
      <w:r>
        <w:rPr>
          <w:rtl w:val="1"/>
        </w:rPr>
        <w:t xml:space="preserve"> وحدثني مالك أنه بلغه أن عبد الله بن مسعود</w:t>
        <w:br/>
      </w:r>
      <w:r>
        <w:rPr>
          <w:color w:val="000000"/>
          <w:rtl w:val="1"/>
        </w:rPr>
        <w:t xml:space="preserve">كان يقول:  </w:t>
      </w:r>
      <w:r>
        <w:rPr>
          <w:color w:val="FF0000"/>
          <w:rtl w:val="1"/>
        </w:rPr>
        <w:t xml:space="preserve">مَن أَسلَفَ سَلَفًا فلا يَشترط أَفضلَ منه، وإن كانت قبضةً من عَلَف، فهو رِبا. </w:t>
      </w:r>
      <w:r>
        <w:rPr>
          <w:color w:val="FF0000"/>
          <w:rtl w:val="1"/>
        </w:rPr>
        <w:t xml:space="preserve">1993- قال مالك: الأمرُ المُجتمَعُ عليه عندَنا: أَنَّ من استَسلَفَ شيئًا من الحيوانِ بصِفةٍ وتحليةٍ معلومَة، فإنَّه لا بأس بذلك، وعليه أن يَرُدَّ مثلَه، إلّا ما كان من الولائِد، فإنّه يُخاف في ذلك الذَّريعةُ إلى إحلالِ ما لا يَحِلُّ فلا يَصلُح، وتفسيرُ ما كُرِه من ذلك: أن يَستسلِفَ الرّجلُ الجاريةَ فيُصيبَها ما بدا له، ثم يَردَّها إلى صاحبِها بعَينِها، فذلك لا يَصلُح ولا يَحِلُّ، ولم يزل أَهلُ العِلم يَنهونَ عنه، ولا يُرخِّصون فيه لأحد. </w:t>
      </w:r>
    </w:p>
    <w:p>
      <w:pPr>
        <w:bidi w:val="1"/>
        <w:jc w:val="start"/>
      </w:pPr>
      <w:r>
        <w:rPr>
          <w:rtl w:val="1"/>
        </w:rPr>
        <w:t xml:space="preserve">درجة الحديث: إسناده ضعيف </w:t>
      </w:r>
    </w:p>
    <w:p>
      <w:pPr>
        <w:bidi w:val="1"/>
        <w:jc w:val="start"/>
      </w:pPr>
      <w:r>
        <w:rPr>
          <w:rtl w:val="1"/>
        </w:rPr>
        <w:t>الشرح: الدلالة: ربا القرض - ربا الفضل</w:t>
      </w:r>
    </w:p>
    <w:p>
      <w:pPr>
        <w:bidi w:val="1"/>
        <w:jc w:val="start"/>
      </w:pPr>
      <w:r>
        <w:rPr>
          <w:rtl w:val="1"/>
        </w:rPr>
        <w:t>الشرح: الدلالة: كون المال المقرض عينًا - شروط المال المقرض</w:t>
      </w:r>
    </w:p>
    <w:p>
      <w:pPr>
        <w:bidi w:val="1"/>
        <w:jc w:val="start"/>
      </w:pPr>
      <w:r>
        <w:rPr>
          <w:rtl w:val="1"/>
        </w:rPr>
        <w:t>الشرح: الدلالة: كون المال المقرض معلومًا - شروط المال المقرض</w:t>
      </w:r>
    </w:p>
    <w:p>
      <w:pPr>
        <w:bidi w:val="1"/>
        <w:jc w:val="start"/>
      </w:pPr>
      <w:r>
        <w:rPr>
          <w:rtl w:val="1"/>
        </w:rPr>
        <w:t>الشرح: الدلالة: كون المال المقرض مباحًا إقراضه - شروط المال المقرض</w:t>
      </w:r>
    </w:p>
    <w:p>
      <w:pPr>
        <w:bidi w:val="1"/>
        <w:jc w:val="start"/>
      </w:pPr>
      <w:r>
        <w:rPr>
          <w:rtl w:val="1"/>
        </w:rPr>
        <w:t>الشرح: الدلالة: صفة بدل القرض من حيث المثل أو القيمة - بدل القرض</w:t>
      </w:r>
    </w:p>
    <w:p>
      <w:pPr>
        <w:bidi w:val="1"/>
        <w:jc w:val="start"/>
      </w:pPr>
      <w:r>
        <w:rPr>
          <w:rtl w:val="1"/>
        </w:rPr>
        <w:t>الشرح: الدلالة: حكم اشْتِرَاط ما يَجُر نَفْعًا إِلَى المقرض فوق القرض - حكم اشتراط جر النفع للمقرض بسبب القرض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