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 إنّه يأكل ممّا سقط-كتاب الجهاد-سنن أبي داود — رقم الحديث: 2622 — الرقم الفرعي: 99 — الرقم الأصلي: 2622</w:t>
        <w:br/>
      </w:r>
      <w:r>
        <w:rPr>
          <w:rtl w:val="1"/>
        </w:rPr>
        <w:t xml:space="preserve"> حدثنا عثمان و أبو بكر ملاحظة ابنا أبي شيبة،وهذا لفظ أبي بكر عن معتمر بن سليمان قال:سمعت ابن أبي حكم الغفاريّ يقول:حدثتني جدّتي عن عمّ أبي رافع بن عمرو الغفاريّ</w:t>
        <w:br/>
      </w:r>
      <w:r>
        <w:rPr>
          <w:color w:val="000000"/>
          <w:rtl w:val="1"/>
        </w:rPr>
        <w:t xml:space="preserve">قال: كنتُ غُلاماً أرمي نَخْلَ الأنصار، فأُتِي بي النبيُّ ﷺ،  </w:t>
      </w:r>
      <w:r>
        <w:rPr>
          <w:color w:val="000000"/>
          <w:rtl w:val="1"/>
        </w:rPr>
        <w:t xml:space="preserve">فقال: «يا غُلامُ، لِمَ تَرمي النخلَ؟» قال: آكُلُ،  </w:t>
      </w:r>
      <w:r>
        <w:rPr>
          <w:color w:val="000000"/>
          <w:rtl w:val="1"/>
        </w:rPr>
        <w:t xml:space="preserve">قال: «فلا تَرمِ النَّخلَ وكُل ما يَسقُطُ في أسفلِها» ثم مَسَحَ رأسَه،  </w:t>
      </w:r>
      <w:r>
        <w:rPr>
          <w:color w:val="FF0000"/>
          <w:rtl w:val="1"/>
        </w:rPr>
        <w:t xml:space="preserve">فقال: «اللَهُمَّ أشبغ بَطْنَه».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