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المتابعة بين الحجّ والعمرة-كتاب مناسك الحج-سنن النسائي — رقم الحديث: 2630 — الرقم الفرعي: 99 — الرقم الأصلي: 2630</w:t>
        <w:br/>
      </w:r>
      <w:r>
        <w:rPr>
          <w:rtl w:val="1"/>
        </w:rPr>
        <w:t xml:space="preserve"> أخبرنا أبو داود قال:حدثنا أبو عتّاب قال:حدثنا عَزرة بن ثابت عن عمرو بن دينار قال:قال ابن عبّاس قال: قال رسول الله صلى الله عليه وسلم</w:t>
        <w:br/>
      </w:r>
      <w:r>
        <w:rPr>
          <w:color w:val="FF0000"/>
          <w:rtl w:val="1"/>
        </w:rPr>
        <w:t xml:space="preserve">«تابِعوا بَينَ الحَجِّ والعُمْرَةِ، فإِنَّهُما: يَنفِيانِ الفَقرَ، والذُّنُوبَ، كما يَنفِي الكِيرُ خَبَثَ الحَدِيدِ».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حج التطوع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