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الكلام في الأذان،وتكلّم سليمان بن صرد في أذانه،وقال الحسن:لا بأس أن يضحك-كتاب الصلاة-صحيح البخاري — رقم الحديث: 616 — الرقم الفرعي: 99 — الرقم الأصلي: 616</w:t>
        <w:br/>
      </w:r>
      <w:r>
        <w:rPr>
          <w:rtl w:val="1"/>
        </w:rPr>
        <w:t xml:space="preserve"> حدثنا مُسَدّد قال:حدثنا حمّاد عن أيوب و عبد الحميد صاحب الزياديّ و عاصم الأحول عن عبد الله بن الحارث</w:t>
        <w:br/>
      </w:r>
      <w:r>
        <w:rPr>
          <w:color w:val="FF0000"/>
          <w:rtl w:val="1"/>
        </w:rPr>
        <w:t xml:space="preserve">قال: خَطَبَنا ابنُ عبَّاسٍ في يومٍ رَدْغٍ،  </w:t>
      </w:r>
      <w:r>
        <w:rPr>
          <w:color w:val="FF0000"/>
          <w:rtl w:val="1"/>
        </w:rPr>
        <w:t xml:space="preserve">فلمّا بَلَغَ المؤَذِّنُ: حَيَّ على الصلاةِ، فأمَرَه أنْ يُنادِيَ: الصلاةَ في الرِّحَالِ،  </w:t>
      </w:r>
      <w:r>
        <w:rPr>
          <w:color w:val="000000"/>
          <w:rtl w:val="1"/>
        </w:rPr>
        <w:t xml:space="preserve">فنَظَرَ القومُ بعضُهم إلى بعضٍ  </w:t>
      </w:r>
      <w:r>
        <w:rPr>
          <w:color w:val="000000"/>
          <w:rtl w:val="1"/>
        </w:rPr>
        <w:t xml:space="preserve">فقال: فَعَلَ هذا مَن هو خيرٌ منه، </w:t>
      </w:r>
      <w:r>
        <w:rPr>
          <w:color w:val="FF0000"/>
          <w:rtl w:val="1"/>
        </w:rPr>
        <w:t xml:space="preserve">وإنَّها عَزْمةٌ.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قول المؤذن: صلوا في رحالكم - ألفاظ الأذان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p>
      <w:pPr>
        <w:bidi w:val="1"/>
        <w:jc w:val="start"/>
      </w:pPr>
      <w:r>
        <w:rPr>
          <w:rtl w:val="1"/>
        </w:rPr>
        <w:t>الشرح: الدلالة: أحوال ترك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حكم صلاة الجمعة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