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قال إذا أقبلت الحيضة تدع الصلاة-كتاب الطهارة-سنن أبي داود — رقم الحديث: 287 — الرقم الفرعي: 99 — الرقم الأصلي: 287</w:t>
        <w:br/>
      </w:r>
      <w:r>
        <w:rPr>
          <w:rtl w:val="1"/>
        </w:rPr>
        <w:t xml:space="preserve"> حدثنا زهير بن حرب و غيره قالا:ثنا عبد الملك بن عمرو ثنا زهير بن محمد عن عبد الله بن محمد بن عقيل عن إبراهيم بن محمد بن طلحة عن عمّه عمران بن طلحة عن أُمّه حَمنَة بنت جحش</w:t>
        <w:br/>
      </w:r>
      <w:r>
        <w:rPr>
          <w:color w:val="000000"/>
          <w:rtl w:val="1"/>
        </w:rPr>
        <w:t xml:space="preserve">قالت: كنتُ أُستَحاضُ حَيضَةً كثيرةً شديدةً،  </w:t>
      </w:r>
      <w:r>
        <w:rPr>
          <w:color w:val="000000"/>
          <w:rtl w:val="1"/>
        </w:rPr>
        <w:t xml:space="preserve">فأتيتُ رسولَ الله ﷺ أستَفتيهِ وأُخبِرُه،  </w:t>
      </w:r>
      <w:r>
        <w:rPr>
          <w:color w:val="000000"/>
          <w:rtl w:val="1"/>
        </w:rPr>
        <w:t xml:space="preserve">فوجَدتُه في بيتِ أُختي زينبَ بنتِ جَحش،  </w:t>
      </w:r>
      <w:r>
        <w:rPr>
          <w:color w:val="000000"/>
          <w:rtl w:val="1"/>
        </w:rPr>
        <w:t xml:space="preserve">فقلت: يا رسولَ الله، إني أُستَحاضُ حَيضَةً كثيرةً شديدةً، فما تَرى فيها؟  </w:t>
      </w:r>
      <w:r>
        <w:rPr>
          <w:color w:val="000000"/>
          <w:rtl w:val="1"/>
        </w:rPr>
        <w:t xml:space="preserve">قد مَنَعَتني الصَّلاةَ والصَّومَ.  </w:t>
      </w:r>
      <w:r>
        <w:rPr>
          <w:color w:val="000000"/>
          <w:rtl w:val="1"/>
        </w:rPr>
        <w:t xml:space="preserve">قال: «أنعَتُ لَكِ الكُرسُفَ، فإنه يُذهِبُ الدمَ»  </w:t>
      </w:r>
      <w:r>
        <w:rPr>
          <w:color w:val="000000"/>
          <w:rtl w:val="1"/>
        </w:rPr>
        <w:t xml:space="preserve">قالت: هو أكثَرُ مِن ذلك،  </w:t>
      </w:r>
      <w:r>
        <w:rPr>
          <w:color w:val="000000"/>
          <w:rtl w:val="1"/>
        </w:rPr>
        <w:t xml:space="preserve">قال: «فاتَّخِذِي ثَوبًا»  </w:t>
      </w:r>
      <w:r>
        <w:rPr>
          <w:color w:val="000000"/>
          <w:rtl w:val="1"/>
        </w:rPr>
        <w:t xml:space="preserve">فقالت: هو أكثَرُ مِن ذلك، إنَّما أثُجُّ ثَجًّا،  </w:t>
      </w:r>
      <w:r>
        <w:rPr>
          <w:color w:val="000000"/>
          <w:rtl w:val="1"/>
        </w:rPr>
        <w:t xml:space="preserve">قال رسولُ الله ﷺ: «سآمُرُكِ بأمرَينِ، أيهما فَعَلتِ أجزَأَ عنكِ مِنَ الآخَرِ،  </w:t>
      </w:r>
      <w:r>
        <w:rPr>
          <w:color w:val="000000"/>
          <w:rtl w:val="1"/>
        </w:rPr>
        <w:t xml:space="preserve">وإن قَوِيتِ عليهما فأنتِ أعلَمُ»  </w:t>
      </w:r>
      <w:r>
        <w:rPr>
          <w:color w:val="000000"/>
          <w:rtl w:val="1"/>
        </w:rPr>
        <w:t xml:space="preserve">قال لها: «إنَّما هذه رَكْضةٌ من رَكَضاتِ الشَّيطانِ،  </w:t>
      </w:r>
      <w:r>
        <w:rPr>
          <w:color w:val="000000"/>
          <w:rtl w:val="1"/>
        </w:rPr>
        <w:t xml:space="preserve">فتَحَيَّضي سِتَّةَ أيامٍ أو سبعةَ أيامٍ في عِلمِ الله،  </w:t>
      </w:r>
      <w:r>
        <w:rPr>
          <w:color w:val="000000"/>
          <w:rtl w:val="1"/>
        </w:rPr>
        <w:t xml:space="preserve">ثمَّ اغتَسِلي،  </w:t>
      </w:r>
      <w:r>
        <w:rPr>
          <w:color w:val="000000"/>
          <w:rtl w:val="1"/>
        </w:rPr>
        <w:t xml:space="preserve">حتَّى إذا رأيتِ أنَّكِ قد طَهُرتِ واستَنقَأتِ فصَلِّي ثلاثًا وعشرينَ ليلةً، أو أربعًا وعشرين ليلةً وأيامَها،  </w:t>
      </w:r>
      <w:r>
        <w:rPr>
          <w:color w:val="000000"/>
          <w:rtl w:val="1"/>
        </w:rPr>
        <w:t xml:space="preserve">وصومي، فإنَّ ذلك يُجزِئُكِ،  </w:t>
      </w:r>
      <w:r>
        <w:rPr>
          <w:color w:val="000000"/>
          <w:rtl w:val="1"/>
        </w:rPr>
        <w:t xml:space="preserve">وكذلك فافعَلي كلَّ شهرٍ كما يَحِضنَ النِّساءُ وكما يَطهُرنَ،  </w:t>
      </w:r>
      <w:r>
        <w:rPr>
          <w:color w:val="000000"/>
          <w:rtl w:val="1"/>
        </w:rPr>
        <w:t xml:space="preserve">ميقاتَ حَيضِهنَّ وطُهرِهنَّ،  </w:t>
      </w:r>
      <w:r>
        <w:rPr>
          <w:color w:val="000000"/>
          <w:rtl w:val="1"/>
        </w:rPr>
        <w:t xml:space="preserve">وإن قَوِيتِ على أن تُؤخِّري الظُّهرَ وتُعَجِّلي العَصرَ،  </w:t>
      </w:r>
      <w:r>
        <w:rPr>
          <w:color w:val="000000"/>
          <w:rtl w:val="1"/>
        </w:rPr>
        <w:t xml:space="preserve">فتَغتَسِلينَ وتَجمَعينَ بينَ الصَّلاتين: الظُّهرِ والعَصرِ،  </w:t>
      </w:r>
      <w:r>
        <w:rPr>
          <w:color w:val="000000"/>
          <w:rtl w:val="1"/>
        </w:rPr>
        <w:t xml:space="preserve">وتُؤخِّرينَ المَغرِبَ وتُعَجِّلينَ العِشاءَ،  </w:t>
      </w:r>
      <w:r>
        <w:rPr>
          <w:color w:val="000000"/>
          <w:rtl w:val="1"/>
        </w:rPr>
        <w:t xml:space="preserve">ثمَّ تَغتَسِلينَ وتَجمَعينَ بينَ الصلاتَينِ، فافعلي،  </w:t>
      </w:r>
      <w:r>
        <w:rPr>
          <w:color w:val="000000"/>
          <w:rtl w:val="1"/>
        </w:rPr>
        <w:t xml:space="preserve">وتَغتَسِلينَ مع الفَجرِ فافعَلي،  </w:t>
      </w:r>
      <w:r>
        <w:rPr>
          <w:color w:val="000000"/>
          <w:rtl w:val="1"/>
        </w:rPr>
        <w:t xml:space="preserve">وصومي إن قَدِرتِ على ذلك».  </w:t>
      </w:r>
      <w:r>
        <w:rPr>
          <w:color w:val="000000"/>
          <w:rtl w:val="1"/>
        </w:rPr>
        <w:t xml:space="preserve">قال رسولُ الله ﷺ: «وهذا أعجَبُ الأمرَينِ إليَّ». </w:t>
      </w:r>
      <w:r>
        <w:rPr>
          <w:color w:val="000000"/>
          <w:rtl w:val="1"/>
        </w:rPr>
        <w:t xml:space="preserve">قال أبو داود: رواه عَمرُو بنُ ثابت، عن ابن عَقيل، فقال: قالت حَمْنةُ: هذا أعجَبُ الأمرَينِ إليَّ. لم يَجعَله قولَ النبيِّ ﷺ. </w:t>
      </w:r>
      <w:r>
        <w:rPr>
          <w:color w:val="000000"/>
          <w:rtl w:val="1"/>
        </w:rPr>
        <w:t xml:space="preserve">قال أبو داود: كان عَمرُو بن ثابث رافضيًّا، وذكرَه عن يحيى بن مَعين، ولكنه كان صَدوقًا في الحديث. </w:t>
      </w:r>
    </w:p>
    <w:p>
      <w:pPr>
        <w:bidi w:val="1"/>
        <w:jc w:val="start"/>
      </w:pPr>
      <w:r>
        <w:rPr>
          <w:rtl w:val="1"/>
        </w:rPr>
        <w:t xml:space="preserve">درجة الحديث: إسناده ضعيف  / إسناده ضعيف </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التدرج في التعليم - الأساليب التعليمية</w:t>
      </w:r>
    </w:p>
    <w:p>
      <w:pPr>
        <w:bidi w:val="1"/>
        <w:jc w:val="start"/>
      </w:pPr>
      <w:r>
        <w:rPr>
          <w:rtl w:val="1"/>
        </w:rPr>
        <w:t>الشرح: الدلالة: شرط الأداء - أداء الحديث</w:t>
      </w:r>
    </w:p>
    <w:p>
      <w:pPr>
        <w:bidi w:val="1"/>
        <w:jc w:val="start"/>
      </w:pPr>
      <w:r>
        <w:rPr>
          <w:rtl w:val="1"/>
        </w:rPr>
        <w:t>الشرح: الدلالة: العدالة - من تقبل روايته - من تقبل روايته</w:t>
      </w:r>
    </w:p>
    <w:p>
      <w:pPr>
        <w:bidi w:val="1"/>
        <w:jc w:val="start"/>
      </w:pPr>
      <w:r>
        <w:rPr>
          <w:rtl w:val="1"/>
        </w:rPr>
        <w:t>الشرح: الدلالة: ثقة - أقسام الرواة جرحا وتعديلا</w:t>
      </w:r>
    </w:p>
    <w:p>
      <w:pPr>
        <w:bidi w:val="1"/>
        <w:jc w:val="start"/>
      </w:pPr>
      <w:r>
        <w:rPr>
          <w:rtl w:val="1"/>
        </w:rPr>
        <w:t>الشرح: الدلالة: صدوق - أقسام الرواة جرحا وتعديلا</w:t>
      </w:r>
    </w:p>
    <w:p>
      <w:pPr>
        <w:bidi w:val="1"/>
        <w:jc w:val="start"/>
      </w:pPr>
      <w:r>
        <w:rPr>
          <w:rtl w:val="1"/>
        </w:rPr>
        <w:t>الشرح: الدلالة: صاحب بدعة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