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من قال:يكبّرون جميعاً،وإن كانوا مستدبري القِبلة، ثم يصلّي بمن معه ركعه،ثم يأتون مصافّ أصحابهم ،ويجيء الآخرون فيركعون لأنفسهم ركعة،ثم يصلي بهم ركعة،ثم تُقبل الطائفة التي كانت مقابل العدوّ،فيصلّون لأنفسهم ركعة،والإمام قاعد ،ثم يسلّم بهم كلهم جميعاً.-كتاب الصلاة-سنن أبي داود — رقم الحديث: 1241 — الرقم الفرعي: 99 — الرقم الأصلي: 1241</w:t>
        <w:br/>
      </w:r>
      <w:r>
        <w:rPr>
          <w:rtl w:val="1"/>
        </w:rPr>
        <w:t xml:space="preserve"> حدثنا محمد بن عمرو الرازيّ ثنا سلمة حدثني محمد بن إسحاق عن محمد بن جعفر بن الزبير و محمد بن الأسود عن عروة بن الزبير عن أبي هريرة</w:t>
        <w:br/>
      </w:r>
      <w:r>
        <w:rPr>
          <w:color w:val="000000"/>
          <w:rtl w:val="1"/>
        </w:rPr>
        <w:t xml:space="preserve">قال:  </w:t>
      </w:r>
      <w:r>
        <w:rPr>
          <w:color w:val="FF0000"/>
          <w:rtl w:val="1"/>
        </w:rPr>
        <w:t xml:space="preserve">خرَجْنا معَ رَسولِ الله ﷺ إلى نَجْد، حتى إذا كنَّا بذاتِ الرِّقاع من نَخْلٍ، لَقِي جَمعًا مِن غَطَفان، فذكر معناهُ، ولفظُه على غيرِ لفظ حَيْوةَ،  </w:t>
      </w:r>
      <w:r>
        <w:rPr>
          <w:color w:val="FF0000"/>
          <w:rtl w:val="1"/>
        </w:rPr>
        <w:t xml:space="preserve">وقال فيه حين رَكَع بمَن معَه وسَجَد، قال: فلمّا قامُوا مَشَوا القَهقَرَى إلى مَصافِّ أَصحابِهم. ولم يَذكُر استِدبارَ القِبلة. </w:t>
      </w:r>
    </w:p>
    <w:p>
      <w:pPr>
        <w:bidi w:val="1"/>
        <w:jc w:val="start"/>
      </w:pPr>
      <w:r>
        <w:rPr>
          <w:rtl w:val="1"/>
        </w:rPr>
        <w:t>درجة الحديث: صحيح لغيره / صحيح لغيره</w:t>
      </w:r>
    </w:p>
    <w:p>
      <w:pPr>
        <w:bidi w:val="1"/>
        <w:jc w:val="start"/>
      </w:pPr>
      <w:r>
        <w:rPr>
          <w:rtl w:val="1"/>
        </w:rPr>
        <w:t>الشرح: الدلالة: ما ورد في القبائل - المناقب</w:t>
      </w:r>
    </w:p>
    <w:p>
      <w:pPr>
        <w:bidi w:val="1"/>
        <w:jc w:val="start"/>
      </w:pPr>
      <w:r>
        <w:rPr>
          <w:rtl w:val="1"/>
        </w:rPr>
        <w:t>الشرح: الدلالة: ما ورد في الأمكنة والبلدان</w:t>
      </w:r>
    </w:p>
    <w:p>
      <w:pPr>
        <w:bidi w:val="1"/>
        <w:jc w:val="start"/>
      </w:pPr>
      <w:r>
        <w:rPr>
          <w:rtl w:val="1"/>
        </w:rPr>
        <w:t>الشرح: الدلالة: غزوة ذات الرقاع - أحداث السنة السابعة</w:t>
      </w:r>
    </w:p>
    <w:p>
      <w:pPr>
        <w:bidi w:val="1"/>
        <w:jc w:val="start"/>
      </w:pPr>
      <w:r>
        <w:rPr>
          <w:rtl w:val="1"/>
        </w:rPr>
        <w:t>الشرح: الدلالة: ما ورد في أسد وغطفان وبني عامر - ما ورد في القبائل</w:t>
      </w:r>
    </w:p>
    <w:p>
      <w:pPr>
        <w:bidi w:val="1"/>
        <w:jc w:val="start"/>
      </w:pPr>
      <w:r>
        <w:rPr>
          <w:rtl w:val="1"/>
        </w:rPr>
        <w:t>الشرح: الدلالة: ما ورد في الحجاز وسائرالجزيرة العربية - ما ورد في الأمكنة والبلدان</w:t>
      </w:r>
    </w:p>
    <w:p>
      <w:pPr>
        <w:bidi w:val="1"/>
        <w:jc w:val="start"/>
      </w:pPr>
      <w:r>
        <w:rPr>
          <w:rtl w:val="1"/>
        </w:rPr>
        <w:t>الشرح: الدلالة: صلاة الخوف - الأعذار في الصلوات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