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وطء السبايا-كتاب النكاح-سنن أبي داود — رقم الحديث: 2158 — الرقم الفرعي: 99 — الرقم الأصلي: 2158</w:t>
        <w:br/>
      </w:r>
      <w:r>
        <w:rPr>
          <w:rtl w:val="1"/>
        </w:rPr>
        <w:t xml:space="preserve"> حدثنا النفيليّ ثنا محمد بن سلمة عن محمد بن إسحاق حدثني يزيد بن أبي حبيب عن أبي مرزوق عن حنش الصنعانيّ عن رويفع بن ثابت الأنصاريّ</w:t>
        <w:br/>
      </w:r>
      <w:r>
        <w:rPr>
          <w:color w:val="000000"/>
          <w:rtl w:val="1"/>
        </w:rPr>
        <w:t xml:space="preserve">قال: قام فينا خَطيباً، قال: أَمَا إنِّي لا أَقولُ لَكُم إلّا ما سمِعتُ رسولَ الله ﷺ يقولُ يومَ حُنَينٍ،  </w:t>
      </w:r>
      <w:r>
        <w:rPr>
          <w:color w:val="FF0000"/>
          <w:rtl w:val="1"/>
        </w:rPr>
        <w:t xml:space="preserve">قال: «لا يَحِلُّ لامرئٍ يُؤمِنُ باللهِ واليومِ الآخرِ أَن يَسْقِيَ ماءَه زَرعَ غيرِه - يعني إتيانَ الحَبالَى –  </w:t>
      </w:r>
      <w:r>
        <w:rPr>
          <w:color w:val="FF0000"/>
          <w:rtl w:val="1"/>
        </w:rPr>
        <w:t xml:space="preserve">ولا يَحِلُّ لامرئٍ يُؤمِنُ باللهِ واليومِ الآخِر أَن يقعَ على امرأةٍ من السَّبيِ حتى يَستَبرِئها،  </w:t>
      </w:r>
      <w:r>
        <w:rPr>
          <w:color w:val="FF0000"/>
          <w:rtl w:val="1"/>
        </w:rPr>
        <w:t xml:space="preserve">ولا يَحِلُّ لامرئٍ يُؤْمِنُ باللهِ واليومِ الآخرِ أن يَبيعَ مَغنمًا حتى يُقسَم. </w:t>
      </w:r>
    </w:p>
    <w:p>
      <w:pPr>
        <w:bidi w:val="1"/>
        <w:jc w:val="start"/>
      </w:pPr>
      <w:r>
        <w:rPr>
          <w:rtl w:val="1"/>
        </w:rPr>
        <w:t>درجة الحديث: صحيح لغيره</w:t>
      </w:r>
    </w:p>
    <w:p>
      <w:pPr>
        <w:bidi w:val="1"/>
        <w:jc w:val="start"/>
      </w:pPr>
      <w:r>
        <w:rPr>
          <w:rtl w:val="1"/>
        </w:rPr>
        <w:t>الشرح: الدلالة: الفيء - آثار القتال ونتائجه</w:t>
      </w:r>
    </w:p>
    <w:p>
      <w:pPr>
        <w:bidi w:val="1"/>
        <w:jc w:val="start"/>
      </w:pPr>
      <w:r>
        <w:rPr>
          <w:rtl w:val="1"/>
        </w:rPr>
        <w:t>الشرح: الدلالة: أساليب الدعوة - الحركة بالدعوة وأنواع الاتصال</w:t>
      </w:r>
    </w:p>
    <w:p>
      <w:pPr>
        <w:bidi w:val="1"/>
        <w:jc w:val="start"/>
      </w:pPr>
      <w:r>
        <w:rPr>
          <w:rtl w:val="1"/>
        </w:rPr>
        <w:t>الشرح: الدلالة: وسائل الإعلام (الخطباء والقراء والشعراء والقصاصون ...) - مؤسسات التربية والتعليم</w:t>
      </w:r>
    </w:p>
    <w:p>
      <w:pPr>
        <w:bidi w:val="1"/>
        <w:jc w:val="start"/>
      </w:pPr>
      <w:r>
        <w:rPr>
          <w:rtl w:val="1"/>
        </w:rPr>
        <w:t>الشرح: الدلالة: الغنائم والزكاة والصدقات (بيت المال ) - أساليب التكافل الاجتماعي ومؤسساته</w:t>
      </w:r>
    </w:p>
    <w:p>
      <w:pPr>
        <w:bidi w:val="1"/>
        <w:jc w:val="start"/>
      </w:pPr>
      <w:r>
        <w:rPr>
          <w:rtl w:val="1"/>
        </w:rPr>
        <w:t>الشرح: الدلالة: تبليغ العلم ونشره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غنائم حنين وما دار من حوار بين النبي صلى الله عليه وسلم وبين الأنصار - غزوة هوازن ويوم حنين</w:t>
      </w:r>
    </w:p>
    <w:p>
      <w:pPr>
        <w:bidi w:val="1"/>
        <w:jc w:val="start"/>
      </w:pPr>
      <w:r>
        <w:rPr>
          <w:rtl w:val="1"/>
        </w:rPr>
        <w:t>الشرح: الدلالة: الأسلوب التقريري المباشر</w:t>
      </w:r>
    </w:p>
    <w:p>
      <w:pPr>
        <w:bidi w:val="1"/>
        <w:jc w:val="start"/>
      </w:pPr>
      <w:r>
        <w:rPr>
          <w:rtl w:val="1"/>
        </w:rPr>
        <w:t>الشرح: الدلالة: أسلوب ضرب المثل والتشبيه</w:t>
      </w:r>
    </w:p>
    <w:p>
      <w:pPr>
        <w:bidi w:val="1"/>
        <w:jc w:val="start"/>
      </w:pPr>
      <w:r>
        <w:rPr>
          <w:rtl w:val="1"/>
        </w:rPr>
        <w:t>الشرح: الدلالة: القوانين والأحكام (الحدود والقصاص والتعزير) - الضبط الاجتماعي</w:t>
      </w:r>
    </w:p>
    <w:p>
      <w:pPr>
        <w:bidi w:val="1"/>
        <w:jc w:val="start"/>
      </w:pPr>
      <w:r>
        <w:rPr>
          <w:rtl w:val="1"/>
        </w:rPr>
        <w:t>الشرح: الدلالة: الحاجات الجسمية (الشراب والطعام والصحة..)- حاجات المتعلمين</w:t>
      </w:r>
    </w:p>
    <w:p>
      <w:pPr>
        <w:bidi w:val="1"/>
        <w:jc w:val="start"/>
      </w:pPr>
      <w:r>
        <w:rPr>
          <w:rtl w:val="1"/>
        </w:rPr>
        <w:t>الشرح: الدلالة: الاقتداء - أساليب البحث عن المعرفة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الغنائم والفئ والخراج والجزية - أنواع التمويل ومصادره</w:t>
      </w:r>
    </w:p>
    <w:p>
      <w:pPr>
        <w:bidi w:val="1"/>
        <w:jc w:val="start"/>
      </w:pPr>
      <w:r>
        <w:rPr>
          <w:rtl w:val="1"/>
        </w:rPr>
        <w:t>الشرح: الدلالة: سبي حنين - غزوة هوازن ويوم حنين</w:t>
      </w:r>
    </w:p>
    <w:p>
      <w:pPr>
        <w:bidi w:val="1"/>
        <w:jc w:val="start"/>
      </w:pPr>
      <w:r>
        <w:rPr>
          <w:rtl w:val="1"/>
        </w:rPr>
        <w:t>الشرح: الدلالة: الانتفاع ببعض الغنيمة قبل قسمتها - الغنائم والأسلاب والخمس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