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التخلف في النافلة،والصلاة على حصير وخمرة وثوب ،وغيرها من الطاهرات-كتاب المساجد ومواضع الصلاة-صحيح مسلم — رقم الحديث: 660 — الرقم الفرعي: 1 — الرقم الأصلي: 660</w:t>
        <w:br/>
      </w:r>
      <w:r>
        <w:rPr>
          <w:rtl w:val="1"/>
        </w:rPr>
        <w:t xml:space="preserve"> حدثني زُهير بن حرب حدثنا هاشم بن القاسم حدثنا سليمان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دخلَ النّبيُّ ﷺ علينا وما هو إلّا أنا وأُمِّي وأُمُّ حَرامٍ خالتي،  </w:t>
      </w:r>
      <w:r>
        <w:rPr>
          <w:color w:val="000000"/>
          <w:rtl w:val="1"/>
        </w:rPr>
        <w:t xml:space="preserve">فقال: «قُومُوا فلأُصلِّي بكم في غيرِ وَقتِ صلاة»، فصلَّى بنا،  </w:t>
      </w:r>
      <w:r>
        <w:rPr>
          <w:color w:val="FF0000"/>
          <w:rtl w:val="1"/>
        </w:rPr>
        <w:t xml:space="preserve">فقالَ رجلٌ لثابت: أينَ جَعَلَ أَنسًا منه؟ قال: جَعَلَه على يَمينِه،  </w:t>
      </w:r>
      <w:r>
        <w:rPr>
          <w:color w:val="000000"/>
          <w:rtl w:val="1"/>
        </w:rPr>
        <w:t xml:space="preserve">ثم دَعا لنا أَهلَ البَيتِ بكُلِّ خيرٍ من خيرِ الدُّنيا والآخرة،  </w:t>
      </w:r>
      <w:r>
        <w:rPr>
          <w:color w:val="000000"/>
          <w:rtl w:val="1"/>
        </w:rPr>
        <w:t xml:space="preserve">فقالت أُمِّي: يا رسولَ الله، خُويدِمُك ادْعُ اللهَ له، قال: فدَعا لي بكُلِّ خير،  </w:t>
      </w:r>
      <w:r>
        <w:rPr>
          <w:color w:val="000000"/>
          <w:rtl w:val="1"/>
        </w:rPr>
        <w:t xml:space="preserve">وكان في آخِرِ ما دَعا لي به أن قال: «اللّهمَّ أَكثِرْ مالَه ووَلدَه، وبارِكْ له فيه».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موقف الرجل الواحد والمرأتين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