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عمّار وحذيفة رضي الله عنهما-كتاب المناقب-صحيح البخاري — رقم الحديث: 3742 — الرقم الفرعي: 99 — الرقم الأصلي: 3742</w:t>
        <w:br/>
      </w:r>
      <w:r>
        <w:rPr>
          <w:rtl w:val="1"/>
        </w:rPr>
        <w:t xml:space="preserve"> حدثنا مالك بن إسماعيل حدثنا إسرائيل عن المغيرة عن إبراهيم عن عَلقمة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قَدِمْتُ الشَّامَ، فصَلَّيتُ رَكْعتَينِ  </w:t>
      </w:r>
      <w:r>
        <w:rPr>
          <w:color w:val="000000"/>
          <w:rtl w:val="1"/>
        </w:rPr>
        <w:t xml:space="preserve">ثمَّ قلتُ: اللهمَّ يَسِّرْ لي جَلِيسًا صالحًا،  </w:t>
      </w:r>
      <w:r>
        <w:rPr>
          <w:color w:val="000000"/>
          <w:rtl w:val="1"/>
        </w:rPr>
        <w:t xml:space="preserve">فأتيتُ قومًا فجلستُ إليهم، فإذا شيخٌ قد جاءَ حتَّى جَلَسَ إلى جَنْبي، قلتُ: مَن هذا؟ قالوا: أبو الدَّرْداءِ،  </w:t>
      </w:r>
      <w:r>
        <w:rPr>
          <w:color w:val="000000"/>
          <w:rtl w:val="1"/>
        </w:rPr>
        <w:t xml:space="preserve">فقلتُ: إنّي دَعَوْتُ اللهَ أنْ يُيَسِّرَ لي جَلِيسًا صالحًا، فيَسَّرَكَ لي،  </w:t>
      </w:r>
      <w:r>
        <w:rPr>
          <w:color w:val="000000"/>
          <w:rtl w:val="1"/>
        </w:rPr>
        <w:t xml:space="preserve">قال: ممَّن أنتَ؟ قلتُ: من أهلِ الكُوفةِ،  </w:t>
      </w:r>
      <w:r>
        <w:rPr>
          <w:color w:val="FF0000"/>
          <w:rtl w:val="1"/>
        </w:rPr>
        <w:t xml:space="preserve">قال: أوَليسَ عندَكُم ابنُ أمِّ عَبْدٍ، صاحبُ النَّعلَينِ والوِسَادِ والمِطْهَرةِ،  </w:t>
      </w:r>
      <w:r>
        <w:rPr>
          <w:color w:val="FF0000"/>
          <w:rtl w:val="1"/>
        </w:rPr>
        <w:t xml:space="preserve">وفِيكُم الَّذي أجارَه اللهُ منَ الشَّيطانِ على لسانِ نبيِّه ﷺ،  </w:t>
      </w:r>
      <w:r>
        <w:rPr>
          <w:color w:val="FF0000"/>
          <w:rtl w:val="1"/>
        </w:rPr>
        <w:t xml:space="preserve">أوَليسَ فيكم صاحبُ سِرِّ النبيِّ ﷺ الَّذي لا يَعلَمُ أحدٌ غيرُه،  </w:t>
      </w:r>
      <w:r>
        <w:rPr>
          <w:color w:val="FF0000"/>
          <w:rtl w:val="1"/>
        </w:rPr>
        <w:t xml:space="preserve">ثمَّ قال: كيفَ يَقرَأُ عبدُ الله: {وَاللَّيْلِ إِذَا يَغْشَى}؟ فقرأتُ عليه: (واللَّيلِ إِذَا يَغْشَى، والنَّهارِ إذا تجلَّى، والذَّكَرِ والأُنثَى).  </w:t>
      </w:r>
      <w:r>
        <w:rPr>
          <w:color w:val="FF0000"/>
          <w:rtl w:val="1"/>
        </w:rPr>
        <w:t xml:space="preserve">قال: والله لقد أقرَأَنِيها رسولُ الله ﷺ مِن فيهِ إلى فِيَّ.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ثالثًا: أمانتهم في إحالة المسائل إلى أصحاب الاختصاص - الأمانة العِلميَّة عند الصحابة رضوان الله عليهم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