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67 — الرقم الفرعي: 99 — الرقم الأصلي: 67 — ج: 1 — ص: 11</w:t>
        <w:br/>
      </w:r>
      <w:r>
        <w:rPr>
          <w:rtl w:val="1"/>
        </w:rPr>
        <w:t xml:space="preserve"> حدثنا محمد بن يزيد قال: أخبرنا سفيان بن حسين عن الزهريّ عن عبيدالله بن عبد الله بن عتبة بن مسعود عن أبي هريرة عن النبيّ صلى الله عليه وسلم</w:t>
        <w:br/>
      </w:r>
      <w:r>
        <w:rPr>
          <w:color w:val="000000"/>
          <w:rtl w:val="1"/>
        </w:rPr>
        <w:t xml:space="preserve">قَالَ: «أُمِرْتُ أَنْ أُقاتِلَ النَّاسَ حَتَّى يَقُولُوا: لَا إِلَهَ إِلَّا اللهُ، فَإِذَا قَالُوهَا عَصَمُوا مِنِّي دِمَاءَهُمْ وَأَمْوَالَهُمْ إِلَّا بِحَقِّهَا، وَحِسَابُهُمْ عَلَى اللهِ» </w:t>
      </w:r>
      <w:r>
        <w:rPr>
          <w:color w:val="000000"/>
          <w:rtl w:val="1"/>
        </w:rPr>
        <w:t xml:space="preserve">قَالَ: فَلَمَّا كَانَتِ الرِّدَّةُ قَالَ عُمَرُ لِأَبِي بَكْرٍ: تُقَاتِلُهُمْ، وَقَدْ سَمِعْتَ رَسُولَ اللهِ ﷺ يَقُولُ كَذَا وَكَذَا؟  </w:t>
      </w:r>
      <w:r>
        <w:rPr>
          <w:color w:val="000000"/>
          <w:rtl w:val="1"/>
        </w:rPr>
        <w:t xml:space="preserve">قَالَ: فَقَالَ أَبو بَكْرٍ رَضِيَ اللهُ عَنْهُ: وَاللهِ لَا أُفرِّقُ بَيْنَ الصَّلاةِ وَالزَّكَاةِ، وَلَأُقاتِلَنَّ مَنْ فَرَّقَ بَيْنهُمَا.  </w:t>
      </w:r>
      <w:r>
        <w:rPr>
          <w:color w:val="000000"/>
          <w:rtl w:val="1"/>
        </w:rPr>
        <w:t xml:space="preserve">قَالَ: فَقاتَلْنا مَعَهُ، فَرَأَيْنَا ذَلكَ رَشَدًا.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