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غسل الحائض رأس زوجها،وترجيله،وطهارة سؤرها ،والاتكاء في حجرها-كتاب الحيض-صحيح مسلم — رقم الحديث: 297 — الرقم الفرعي: 2 — الرقم الأصلي: 297</w:t>
        <w:br/>
      </w:r>
      <w:r>
        <w:rPr>
          <w:rtl w:val="1"/>
        </w:rPr>
        <w:t xml:space="preserve"> وحدثنا قتيبة بن سعيد حدثنا ليث ح وحدثنا محمد بن رُمح قال: أخبرنا الليث عن ابن شهاب عن عروة و عَمرة بنت عبد الرحمن أنّ عائشة زوج النبيّ صلى الله عليه وسلم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إن كنتُ لأَدخُلُ البيتَ للحاجةِ والمريضُ فيه، فما أسألُ عنه، إلّا وأَنا مارَّةٌ،  </w:t>
      </w:r>
      <w:r>
        <w:rPr>
          <w:color w:val="FF0000"/>
          <w:rtl w:val="1"/>
        </w:rPr>
        <w:t xml:space="preserve">وإنْ كان رسولُ الله ﷺ ليُدخِلُ عليَّ رأسَه وهو في المسجدِ فأرجِّلُه،  </w:t>
      </w:r>
      <w:r>
        <w:rPr>
          <w:color w:val="FF0000"/>
          <w:rtl w:val="1"/>
        </w:rPr>
        <w:t xml:space="preserve">وكان لا يَدخُلُ البيتَ إلا لحاجةٍ إذا كان مُعتكِفًا.  </w:t>
      </w:r>
      <w:r>
        <w:rPr>
          <w:color w:val="000000"/>
          <w:rtl w:val="1"/>
        </w:rPr>
        <w:t xml:space="preserve">وقال ابنُ رُمْح: إذا كانوا مُعتكِفين. </w:t>
      </w:r>
    </w:p>
    <w:p>
      <w:pPr>
        <w:bidi w:val="1"/>
        <w:jc w:val="start"/>
      </w:pPr>
      <w:r>
        <w:rPr>
          <w:rtl w:val="1"/>
        </w:rPr>
        <w:t xml:space="preserve">الشرح: الدلالة: اعتكافه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