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يعطى من الصدقة،وحدّ الغِنى-كتاب الزكاة-سنن أبي داود — رقم الحديث: 1629 — الرقم الفرعي: 99 — الرقم الأصلي: 1629</w:t>
        <w:br/>
      </w:r>
      <w:r>
        <w:rPr>
          <w:rtl w:val="1"/>
        </w:rPr>
        <w:t xml:space="preserve"> حدثنا عبد الله بن محمد النّفيليّ ثنا مسكين ثنا محمد بن المهاجر عن ربيعة بن يزيد عن أبي كبشة السلوليّ ثنا سهل بن الحنظليّة</w:t>
        <w:br/>
      </w:r>
      <w:r>
        <w:rPr>
          <w:color w:val="000000"/>
          <w:rtl w:val="1"/>
        </w:rPr>
        <w:t xml:space="preserve">قال: قَدِمَ على رسولِ الله ﷺ عُيينةُ بنُ حِصْنٍ، والأقرعُ بنُ حابسٍ، فسألاه، فأمر لهما بما سألا،  </w:t>
      </w:r>
      <w:r>
        <w:rPr>
          <w:color w:val="000000"/>
          <w:rtl w:val="1"/>
        </w:rPr>
        <w:t xml:space="preserve">وأمَرَ معاويةَ فكتب لهما بما سألا،  </w:t>
      </w:r>
      <w:r>
        <w:rPr>
          <w:color w:val="000000"/>
          <w:rtl w:val="1"/>
        </w:rPr>
        <w:t xml:space="preserve">فأما الأقرعُ، فأخذ كتابه، فلفَّه في عِمامته وانطلق، وأما عُيينة، فأخذ كتابه، وأتى النبيَّ ﷺ مكانه، فقال: </w:t>
      </w:r>
      <w:r>
        <w:rPr>
          <w:color w:val="000000"/>
          <w:rtl w:val="1"/>
        </w:rPr>
        <w:t xml:space="preserve">يا محمد، أتراني حاملاً إلى قومي كتاباً لا أدري ما فيه كصحيفة المتلمِّس، فأخبرَ معاويةُ بقوله رسولَ الله ﷺ، فقال رسولُ الله ﷺ: </w:t>
      </w:r>
      <w:r>
        <w:rPr>
          <w:color w:val="FF0000"/>
          <w:rtl w:val="1"/>
        </w:rPr>
        <w:t xml:space="preserve">«مَنْ سألَ وعندَه ما يُغْنِيه، فإنما يَسْتكثِرُ مِن النار».  </w:t>
      </w:r>
      <w:r>
        <w:rPr>
          <w:color w:val="000000"/>
          <w:rtl w:val="1"/>
        </w:rPr>
        <w:t xml:space="preserve">وقال النفيليُّ في موضع آخر: «مِنْ جَمْرِ جَهنم"» فقالوا: يا رسولَ الله، وما يُغنيه؟  </w:t>
      </w:r>
      <w:r>
        <w:rPr>
          <w:color w:val="000000"/>
          <w:rtl w:val="1"/>
        </w:rPr>
        <w:t xml:space="preserve">وقال النُّفيليُّ في موضع آخر: وما الغِنَى الذي لا تنبغي مَعَهُ المسألةُ؟ قال: «قَدْرَ ما يُغذِّيه ويُعشِّيه». وقال النفيليُّ في موضع آخر: «أن يكونَ له شِبَعُ يَومِ ولَيلةٍ، أو ليلةٍ ويَومٍ».  </w:t>
      </w:r>
      <w:r>
        <w:rPr>
          <w:color w:val="000000"/>
          <w:rtl w:val="1"/>
        </w:rPr>
        <w:t xml:space="preserve">وكان حدَّثنا به مختصراً على هذه الألفاظ التي ذَكَرْتُ.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الوثائق المكتوبة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مشروعية التوثيق بالكتابة - الوثائق المكتوبة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مشكلات الفقر - مشكلات اجتماعية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اتصال كتابي</w:t>
      </w:r>
    </w:p>
    <w:p>
      <w:pPr>
        <w:bidi w:val="1"/>
        <w:jc w:val="start"/>
      </w:pPr>
      <w:r>
        <w:rPr>
          <w:rtl w:val="1"/>
        </w:rPr>
        <w:t>الشرح: الدلالة: اختصار الحديث - أداء الحديث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