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2932 — الرقم الفرعي: 1 — الرقم الأصلي: 2932</w:t>
        <w:br/>
      </w:r>
      <w:r>
        <w:rPr>
          <w:rtl w:val="1"/>
        </w:rPr>
        <w:t xml:space="preserve"> حدثنا عبد بن حُمَيد حدثنا رَوْح بن عبادة حدثنا هشام عن أيوب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لقي ابنُ عمرَ ابنَ صائدٍ في بعضِ طُرقِ المَدينة، فقالَ له قولًا أَغضَبَه، فانتفخَ حتى ملأ السِّكَّةَ،  </w:t>
      </w:r>
      <w:r>
        <w:rPr>
          <w:color w:val="FF0000"/>
          <w:rtl w:val="1"/>
        </w:rPr>
        <w:t xml:space="preserve">فدخلَ ابنُ عمرَ على حفصةَ وقد بلَغَها، فقالت له: رحمِكَ الله! ما أَردتَ مِن ابنِ صائدٍ؟ أمَا علِمتَ أنَّ رسولَ الله ﷺ قال: «إنَّما يَخرجُ من غَضْبةٍ يَغضَبُها»؟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