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الوضوء مرّة ومرتين وثلاثاً-كتاب الطهارة وسننها-سنن ابن ماجة — رقم الحديث: 420 — الرقم الفرعي: 99 — الرقم الأصلي: 420</w:t>
        <w:br/>
      </w:r>
      <w:r>
        <w:rPr>
          <w:rtl w:val="1"/>
        </w:rPr>
        <w:t xml:space="preserve"> حدثنا جعفر بن مُسافر ثنا إسماعيل بن قعنب،أبو بِشر ثنا عبد الله بن عرادة الشّيبانيّ عن زيد بن الحواريّ عن معاوية بن قُرّة عن عُبيد بن عُمير عن أبيّ بن كعب</w:t>
        <w:br/>
      </w:r>
      <w:r>
        <w:rPr>
          <w:color w:val="000000"/>
          <w:rtl w:val="1"/>
        </w:rPr>
        <w:t xml:space="preserve">أنَّ رسولَ الله ﷺ دعا بماءٍ،  </w:t>
      </w:r>
      <w:r>
        <w:rPr>
          <w:color w:val="FF0000"/>
          <w:rtl w:val="1"/>
        </w:rPr>
        <w:t xml:space="preserve">فتوضّأَ مرّةً مرّة، فقال: «هذا وظيفةُ الوُضوء»،  </w:t>
      </w:r>
      <w:r>
        <w:rPr>
          <w:color w:val="FF0000"/>
          <w:rtl w:val="1"/>
        </w:rPr>
        <w:t xml:space="preserve">أو قال: «وُضوءُ مَن لم يَتوضّأْهُ لم يَقبل اللهُ له صلاة»،  </w:t>
      </w:r>
      <w:r>
        <w:rPr>
          <w:color w:val="FF0000"/>
          <w:rtl w:val="1"/>
        </w:rPr>
        <w:t xml:space="preserve">ثم تَوضّأَ مرّتَين مرّتَين، ثم قال: «هذا وضوءُ مَن تَوضّأَهُ أعطاهُ اللهُ كِفْلَين مِن الأجر»،  </w:t>
      </w:r>
      <w:r>
        <w:rPr>
          <w:color w:val="FF0000"/>
          <w:rtl w:val="1"/>
        </w:rPr>
        <w:t xml:space="preserve">ثم تَوضّأَ ثلاثًا ثلاثًا، فقال: «هذا وُضوئِي ووُضوءُ المُرسَلِين قَبْلي». </w:t>
      </w:r>
    </w:p>
    <w:p>
      <w:pPr>
        <w:bidi w:val="1"/>
        <w:jc w:val="start"/>
      </w:pPr>
      <w:r>
        <w:rPr>
          <w:rtl w:val="1"/>
        </w:rPr>
        <w:t xml:space="preserve">درجة الحديث: إسناده ضعيف  / إسناده ضعيف </w:t>
      </w:r>
    </w:p>
    <w:p>
      <w:pPr>
        <w:bidi w:val="1"/>
        <w:jc w:val="start"/>
      </w:pPr>
      <w:r>
        <w:rPr>
          <w:rtl w:val="1"/>
        </w:rPr>
        <w:t>الشرح: الدلالة: تاريخ الأنبياء والرسل وفضائلهم</w:t>
      </w:r>
    </w:p>
    <w:p>
      <w:pPr>
        <w:bidi w:val="1"/>
        <w:jc w:val="start"/>
      </w:pPr>
      <w:r>
        <w:rPr>
          <w:rtl w:val="1"/>
        </w:rPr>
        <w:t>الشرح: الدلالة: أخبار سائر الأنبياء والرسل وفضائلهم على ترتيب الهجاء - تاريخ الأنبياء والرسل وفضائلهم</w:t>
      </w:r>
    </w:p>
    <w:p>
      <w:pPr>
        <w:bidi w:val="1"/>
        <w:jc w:val="start"/>
      </w:pPr>
      <w:r>
        <w:rPr>
          <w:rtl w:val="1"/>
        </w:rPr>
        <w:t>الشرح: الدلالة: العدد والترتيب والموالاة والتيامن في الوضوء - أعمال الوضوء (فرائضه وسننه)</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ضعيف.، - أقسام الرواة جرحا وتعديلا</w:t>
      </w:r>
    </w:p>
    <w:p>
      <w:pPr>
        <w:bidi w:val="1"/>
        <w:jc w:val="start"/>
      </w:pPr>
      <w:r>
        <w:rPr>
          <w:rtl w:val="1"/>
        </w:rPr>
        <w:t>الشرح: الدلالة: ضعيف لا يتقوى - أقسام الرواة جرحا وتعديلا</w:t>
      </w:r>
    </w:p>
    <w:p>
      <w:pPr>
        <w:bidi w:val="1"/>
        <w:jc w:val="start"/>
      </w:pPr>
      <w:r>
        <w:rPr>
          <w:rtl w:val="1"/>
        </w:rPr>
        <w:t>الشرح: الدلالة: إزالة الحدث (بالغسل أو الوضوء أو التيمم) - الطهارة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