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ضرب الحيوان في وجهه،ووسمه فيه-كتاب اللباس والزينة-صحيح مسلم — رقم الحديث: 2117 — الرقم الفرعي: 99 — الرقم الأصلي: 2117</w:t>
        <w:br/>
      </w:r>
      <w:r>
        <w:rPr>
          <w:rtl w:val="1"/>
        </w:rPr>
        <w:t xml:space="preserve"> وحدثني سلمة بن شَبيب حدثنا الحسن بن أعْيَن حدثنا مَعْقِل عن أبي الزبير عن جابر</w:t>
        <w:br/>
      </w:r>
      <w:r>
        <w:rPr>
          <w:color w:val="FF0000"/>
          <w:rtl w:val="1"/>
        </w:rPr>
        <w:t xml:space="preserve">أنَّ النبيَّ ﷺ مَرَّ عَليه حِمارٌ قد وُسِمَ في وجهِه فقال: «لَعَن اللهُ الذي وَسَمَه». 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الرفق بالحيوان وتحريم تعذيبه، وقتلِه لغير حاجة مشروعة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النهي عن وسم الحيوان في وجهه - تزيين الدواب والمراكب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