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رمي الجمار-كتاب الحجّ-صحيح البخاري — رقم الحديث: 1746 — الرقم الفرعي: 99 — الرقم الأصلي: 1746</w:t>
        <w:br/>
      </w:r>
      <w:r>
        <w:rPr>
          <w:rtl w:val="1"/>
        </w:rPr>
        <w:t xml:space="preserve"> حدثنا أبو نُعيم حدثنا مِسْعَر عن وبَرَةَ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ابنَ عمرَ، رضي الله عنهما: متى أَرمِي الجِمارَ؟  </w:t>
      </w:r>
      <w:r>
        <w:rPr>
          <w:color w:val="FF0000"/>
          <w:rtl w:val="1"/>
        </w:rPr>
        <w:t xml:space="preserve">قال: إذا رَمَى إمامُكَ فارمِهْ.  </w:t>
      </w:r>
      <w:r>
        <w:rPr>
          <w:color w:val="FF0000"/>
          <w:rtl w:val="1"/>
        </w:rPr>
        <w:t xml:space="preserve">فأعَدْتُ عليه المَسْألةَ، قال: كنَّا نَتَحَيَّنُ، فإذا زالَتِ الشمسُ رَمَيْنا. 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* قيمة النظام في الحج - النظام في أداء العبادات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