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القول في السجود في صلاة الكسوف-كتاب الكسوف-سنن النسائي — رقم الحديث: 1496 — الرقم الفرعي: 99 — الرقم الأصلي: 1496</w:t>
        <w:br/>
      </w:r>
      <w:r>
        <w:rPr>
          <w:rtl w:val="1"/>
        </w:rPr>
        <w:t xml:space="preserve"> أخبرنا عبد الله بن محمد بن عبد الرحمن بن المِسور الزهريّ قال:حدثنا غُندر عن شعبة عن عطاء بن السائب عن أبيه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كَسَفتِ الشمسُ على عَهدِ رسولِ اللهِ ﷺ،  </w:t>
      </w:r>
      <w:r>
        <w:rPr>
          <w:color w:val="FF0000"/>
          <w:rtl w:val="1"/>
        </w:rPr>
        <w:t xml:space="preserve">فصلّى رسولُ اللهِ ﷺ، فأطالَ القِيامَ، ثمَّ رَكَع، فأطالَ الرُّكُوع، ثمَّ رفع، فأطالَ،  </w:t>
      </w:r>
      <w:r>
        <w:rPr>
          <w:color w:val="000000"/>
          <w:rtl w:val="1"/>
        </w:rPr>
        <w:t xml:space="preserve">قال شعبة: وأَحسِبُه قال في السجودِ نحوَ ذلك،  </w:t>
      </w:r>
      <w:r>
        <w:rPr>
          <w:color w:val="FF0000"/>
          <w:rtl w:val="1"/>
        </w:rPr>
        <w:t xml:space="preserve">وجعلَ يَبكِي في سُجُودِه ويَنفخُ ويقول: «ربِّ لَمْ تَعِدْني هذا وأنا أستغفرُك، لَمْ تَعِدني هذا وأنا فيهم»،  </w:t>
      </w:r>
      <w:r>
        <w:rPr>
          <w:color w:val="FF0000"/>
          <w:rtl w:val="1"/>
        </w:rPr>
        <w:t xml:space="preserve">فلما صَلَّى قال: «عُرِضَتْ عليَّ الجَنَّةُ، حتَّى لو مَدَدتُ يَدِي تناولتُ مِن قُطُوفِها،  </w:t>
      </w:r>
      <w:r>
        <w:rPr>
          <w:color w:val="FF0000"/>
          <w:rtl w:val="1"/>
        </w:rPr>
        <w:t xml:space="preserve">وعُرِضَتْ عليَّ النّارُ فجَعَلتُ أَنفخُ خَشيةَ أن يَغشاكُم حَرُّها،  </w:t>
      </w:r>
      <w:r>
        <w:rPr>
          <w:color w:val="FF0000"/>
          <w:rtl w:val="1"/>
        </w:rPr>
        <w:t xml:space="preserve">ورَأيتُ فيها سارِقَ بَدَنَتَي رسولِ الله ﷺ،  </w:t>
      </w:r>
      <w:r>
        <w:rPr>
          <w:color w:val="FF0000"/>
          <w:rtl w:val="1"/>
        </w:rPr>
        <w:t xml:space="preserve">ورأيتُ فيها أخا بَنِي دُعدُع سارقَ الحَجِيج، فإذا فُطِنَ له قال: هذا عمَلُ المِحجَن،  </w:t>
      </w:r>
      <w:r>
        <w:rPr>
          <w:color w:val="FF0000"/>
          <w:rtl w:val="1"/>
        </w:rPr>
        <w:t xml:space="preserve">ورأيتُ فيها امرأةً طويلَةً سَوداءَ تُعذَّبُ في هِرَّة رَبَطَتها فلم تُطعِمْها ولم تَسْقِها، ولم تَدَعْها تأكلُ مِن خَشَاشِ الأرض حتّى ماتت،  </w:t>
      </w:r>
      <w:r>
        <w:rPr>
          <w:color w:val="FF0000"/>
          <w:rtl w:val="1"/>
        </w:rPr>
        <w:t xml:space="preserve">وإنَّ الشَّمسَ والقَمرَ لا يَنكَسِفان لِمَوتِ أَحدٍ ولا لِحَياتِه، ولكنَّهما آيتانِ مِن آياتِ الله، فإذا انكَسَفتْ إحداهُما - أو قال: أَحدُهما شيئًا من ذلك - فاسعَوا إلى ذِكرِ اللهِ عزَّ وجلّ».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ثانيًا: التحذير من النار والتخويف منها - النار وجحيمها</w:t>
      </w:r>
    </w:p>
    <w:p>
      <w:pPr>
        <w:bidi w:val="1"/>
        <w:jc w:val="start"/>
      </w:pPr>
      <w:r>
        <w:rPr>
          <w:rtl w:val="1"/>
        </w:rPr>
        <w:t>الشرح: الدلالة: * السرقة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سابعًا: عرض الجنة والنار على النبي ﷺ وهو في الدنيا - الجنة ونعيمها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