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مصنف عبد الرزاق — رقم الحديث: 20813 — الرقم الفرعي: 99 — الرقم الأصلي: 20813</w:t>
        <w:br/>
      </w:r>
      <w:r>
        <w:rPr>
          <w:rtl w:val="1"/>
        </w:rPr>
        <w:t xml:space="preserve"> أخبرنا عبد الرزاق، قال: أخبرنا معمر، عن أيوب، عن ابن سيرين، عن عُقبة بن أوسٍ الدَّوسيّ، عن عبد الله بن عَمرو بن العاص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يكونُ على الرُّومِ مَلِكٌ لا يَعصُونَه - أو لا يكادونَ يَعصُونه - فيَجيءُ حتى ينزلَ بأَرضِ كذا وكذا - قال عبدُ الله: أنا ما نَسِيتُها -  </w:t>
      </w:r>
      <w:r>
        <w:rPr>
          <w:color w:val="FF0000"/>
          <w:rtl w:val="1"/>
        </w:rPr>
        <w:t xml:space="preserve">قال: ويَستمِدُّ المؤمنونَ بعضُهم بعضًا، حتى يُمِدَّهم أَهلُ عدَن أَبينَ على قلصاتِهم - قال عبدُ الله: إنّه لفِي الكتابِ مَكتُوب -  </w:t>
      </w:r>
      <w:r>
        <w:rPr>
          <w:color w:val="FF0000"/>
          <w:rtl w:val="1"/>
        </w:rPr>
        <w:t xml:space="preserve">فيَقتَتِلونَ عشْرًا لا يَحجُزُ بينَهم إلّا اللَّيل، ليس لكُم طعامٌ إلّا ما في إداويكُم، لا تَكلُّ سيوفُهم ونيازكهم ولا نُشّابُهم، وأَنتُم أيضًا كذلك،  </w:t>
      </w:r>
      <w:r>
        <w:rPr>
          <w:color w:val="FF0000"/>
          <w:rtl w:val="1"/>
        </w:rPr>
        <w:t xml:space="preserve">ثم يأمرُ ملِكُهم بالسُّفن فيَنحرِفُ،  يعني ملك الرُّوم،  قال: ثم يقول: مَن شاء الآنَ فلْيَفِرَّ، فيَجعلُ اللهُ الدَّبَرَةَ عليهم، فيُقتَلونَ مَقتلةً لم يُرَ مِثلُها - أو لا يُرى مِثلُها - حتى إنَّ الطائرَ ليَمرُّ بهم فيَقع ميِّتًا مِن نَتنِهم،  </w:t>
      </w:r>
      <w:r>
        <w:rPr>
          <w:color w:val="FF0000"/>
          <w:rtl w:val="1"/>
        </w:rPr>
        <w:t xml:space="preserve">للشَّهيدِ يؤمئذٍ كِفْلانِ على مَن مضَى قَبلَه من الشُّهداء، وللمؤمنِ يومئذٍ كِفْلان على مَن مضَى مِنهم قبلَه من المُؤمِنين،  </w:t>
      </w:r>
      <w:r>
        <w:rPr>
          <w:color w:val="FF0000"/>
          <w:rtl w:val="1"/>
        </w:rPr>
        <w:t xml:space="preserve">قال: وبقيَّتُهم لا يُزلزِلُهم شيءٌ أَبدًا، وبقيَّتُهم يقاتلُ الدَّجّال.  </w:t>
      </w:r>
      <w:r>
        <w:rPr>
          <w:color w:val="000000"/>
          <w:rtl w:val="1"/>
        </w:rPr>
        <w:t xml:space="preserve">قال ابنُ سِيرين: فكان عبدُ الله بنُ سلام يقول: إن أَدرَكَني هذا القِتالُ وأنا مريضٌ فاحمِلُوني على سَريرِي حتى تَجعَلُوني بينَ الصَّفّين.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المبحث الرابع: الملحمة العظمى وفتح القسطنطينية ورومية - الفتن وأشراط الساعة بين يدي العلامات الكبرى</w:t>
      </w:r>
    </w:p>
    <w:p>
      <w:pPr>
        <w:bidi w:val="1"/>
        <w:jc w:val="start"/>
      </w:pPr>
      <w:r>
        <w:rPr>
          <w:rtl w:val="1"/>
        </w:rPr>
        <w:t>الشرح: الدلالة: الفصل الأول: الطائفة المنصورة الظاهرة على الحق عند وقوع الفتن - البشائر في انتصار الإسلام وتمكينه وقيام الخلافة الراشدة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