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4525 — الرقم الفرعي: 99 — الرقم الأصلي: 4525 — ج: 2 — ص: 7</w:t>
        <w:br/>
      </w:r>
      <w:r>
        <w:rPr>
          <w:rtl w:val="1"/>
        </w:rPr>
        <w:t xml:space="preserve"> حدثنا عبد الرحمن ملاحظة يعني ابن مهديّ حدثنا مالك عن نافع عن ابن عمر</w:t>
        <w:br/>
      </w:r>
      <w:r>
        <w:rPr>
          <w:color w:val="000000"/>
          <w:rtl w:val="1"/>
        </w:rPr>
        <w:t xml:space="preserve">أنّ رسولَ الله ﷺ نَهى عن بيعِ الثَّمرةِ حتى يَبدُوَ صلاحُها، نَهى البائعَ والمُشتَري،  </w:t>
      </w:r>
      <w:r>
        <w:rPr>
          <w:color w:val="FF0000"/>
          <w:rtl w:val="1"/>
        </w:rPr>
        <w:t xml:space="preserve">ونَهى أن يُسافَر بالقُرآنِ إلى أَرض العدوِّ مَخافةَ أن يَنالَه العَدوّ.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المصحف للكافر - الأسباب التي تؤدي إلى مخالفة دينية أو عبادية محضة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