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بناء المسجد-كتاب الصلاة-سنن أبي داود — رقم الحديث: 453 — الرقم الفرعي: 99 — الرقم الأصلي: 453</w:t>
        <w:br/>
      </w:r>
      <w:r>
        <w:rPr>
          <w:rtl w:val="1"/>
        </w:rPr>
        <w:t xml:space="preserve"> حدثنا مُسدّد ثنا عبد الوارث عن أبي التّيّاح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قَدِمَ رسولُ الله ﷺ المدينةَ فنزَلَ في عُلْوِ المدينةِ في حَيٍّ يقال لهم: بنو عَمرو بن عَوف، فأقامَ فيهم أربَعَ عشرة ليلةً،  </w:t>
      </w:r>
      <w:r>
        <w:rPr>
          <w:color w:val="000000"/>
          <w:rtl w:val="1"/>
        </w:rPr>
        <w:t xml:space="preserve">ثمَّ أرسَلَ إلى بني النَّجَّار فجاؤوا مُتقلِّدينَ سُيوفهم، فقال أنس: فكأني أنظُرُ إلى رسولِ الله ﷺ على راحِلَتِه وأبو بكر رِدْفُه وملأُ بني النَّجَّار حولَه، حتَّى ألقى بفِناءِ أبي أيوب،  </w:t>
      </w:r>
      <w:r>
        <w:rPr>
          <w:color w:val="000000"/>
          <w:rtl w:val="1"/>
        </w:rPr>
        <w:t xml:space="preserve">وكان رسولُ الله ﷺ يُصلِّي حيثُ أدرَكته الصلاة،  </w:t>
      </w:r>
      <w:r>
        <w:rPr>
          <w:color w:val="000000"/>
          <w:rtl w:val="1"/>
        </w:rPr>
        <w:t xml:space="preserve">ويُصلِّي في مَرَابِضِ الغَنَم،  </w:t>
      </w:r>
      <w:r>
        <w:rPr>
          <w:color w:val="FF0000"/>
          <w:rtl w:val="1"/>
        </w:rPr>
        <w:t xml:space="preserve">وإنَّه أمرَ ببناءِ المَسجِدِ، فأرسَلَ إلى بني النَّجَّار فقال: «يا بني النجار، ثامِنُوني بحائِطِكم هذا»  </w:t>
      </w:r>
      <w:r>
        <w:rPr>
          <w:color w:val="000000"/>
          <w:rtl w:val="1"/>
        </w:rPr>
        <w:t xml:space="preserve">فقالوا: واللهِ لا نَطلُبُ ثَمَنَه إلا إلى الله،  </w:t>
      </w:r>
      <w:r>
        <w:rPr>
          <w:color w:val="000000"/>
          <w:rtl w:val="1"/>
        </w:rPr>
        <w:t xml:space="preserve">قال أنس: وكان فيه ما أقولُ لكم: كانت فيه قُبورُ المُشركينَ، وكانت فيه خَرِبٌ، وكان فيه نَخلٌ،  </w:t>
      </w:r>
      <w:r>
        <w:rPr>
          <w:color w:val="000000"/>
          <w:rtl w:val="1"/>
        </w:rPr>
        <w:t xml:space="preserve">فأمَرَ رسولُ الله ﷺ بقُبورِ المُشركينَ فنُبِشَت، وبالخَرِبِ فسُوِّيَت، وبالنَّخلِ فقُطِعَ،  </w:t>
      </w:r>
      <w:r>
        <w:rPr>
          <w:color w:val="000000"/>
          <w:rtl w:val="1"/>
        </w:rPr>
        <w:t xml:space="preserve">فصَفُّوا النَّخلَ قِبلَةً للمَسجِدِ، وجعلوا عِضادَتَيهِ حِجارةً،  </w:t>
      </w:r>
      <w:r>
        <w:rPr>
          <w:color w:val="000000"/>
          <w:rtl w:val="1"/>
        </w:rPr>
        <w:t xml:space="preserve">وجعلوا يَنقُلونَ الصَّخرَ وهم يَرتَجِزَونَ، والنبيُّ ﷺ مَعَهم، ويقول: </w:t>
      </w:r>
      <w:r>
        <w:rPr>
          <w:color w:val="000000"/>
          <w:rtl w:val="1"/>
        </w:rPr>
        <w:t xml:space="preserve">«اللهُمَّ لا خَيرَ إلا خَيرُ الآخِرِة … فانصُرِ الأنصارَ والمُهاجِرَة».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