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في الخطبة بعد الثناء أمّا بعد-كتاب الصلاة-صحيح البخاري — رقم الحديث: 922 — الرقم الفرعي: 99 — الرقم الأصلي: 922</w:t>
        <w:br/>
      </w:r>
      <w:r>
        <w:rPr>
          <w:rtl w:val="1"/>
        </w:rPr>
        <w:t xml:space="preserve"> وقال محمود حدثنا أبو أُسامة قال:حدثنا هشام بن عروة قال:أخبرتني فاطمة بنت المنذر عن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دَخَلْتُ على عائشةَ رضي الله عنها والنّاسُ يُصلُّون، قلتُ: ما شأنُ النّاسِ؟  </w:t>
      </w:r>
      <w:r>
        <w:rPr>
          <w:color w:val="000000"/>
          <w:rtl w:val="1"/>
        </w:rPr>
        <w:t xml:space="preserve">فأشارَتْ برأسِها إلى السَّماءِ، فقلتُ: آيةٌ؟ فأشارَتْ برأسِها، أي: نعم،  </w:t>
      </w:r>
      <w:r>
        <w:rPr>
          <w:color w:val="000000"/>
          <w:rtl w:val="1"/>
        </w:rPr>
        <w:t xml:space="preserve">قالت: فأطالَ رسولُ الله ﷺ جِدًّا حتَّى تَجلَّاني الغَشْيُ، وإلى جَنْبي قِرْبةٌ فيها ماءٌ، ففَتَحتُها فجَعَلْتُ أصُبُّ منها على رأسي،  </w:t>
      </w:r>
      <w:r>
        <w:rPr>
          <w:color w:val="000000"/>
          <w:rtl w:val="1"/>
        </w:rPr>
        <w:t xml:space="preserve">فانصَرَفَ رسولُ الله ﷺ وقد تَجلَّتِ الشمسُ،  </w:t>
      </w:r>
      <w:r>
        <w:rPr>
          <w:color w:val="000000"/>
          <w:rtl w:val="1"/>
        </w:rPr>
        <w:t xml:space="preserve">فخَطَبَ النّاسَ وحَمِدَ اللهَ بما هو أهلُه، ثمَّ قال: «أمَّا بعدُ»،  </w:t>
      </w:r>
      <w:r>
        <w:rPr>
          <w:color w:val="000000"/>
          <w:rtl w:val="1"/>
        </w:rPr>
        <w:t xml:space="preserve">قالت: ولَغَطَ نِسْوةٌ منَ الأنصارِ، فانكَفأْتُ إليهِنَّ لأُسَكِّتَهُنَّ،  </w:t>
      </w:r>
      <w:r>
        <w:rPr>
          <w:color w:val="000000"/>
          <w:rtl w:val="1"/>
        </w:rPr>
        <w:t xml:space="preserve">فقلتُ لعائشةَ: ما قالَ؟ قالت: قال:  </w:t>
      </w:r>
      <w:r>
        <w:rPr>
          <w:color w:val="000000"/>
          <w:rtl w:val="1"/>
        </w:rPr>
        <w:t xml:space="preserve">«ما مِن شيءٍ لم أكُنْ أُرِيتُه إلا قد رأيتُه في مَقَامي هذا، حتَّى الجنَّةَ والنّارَ،  </w:t>
      </w:r>
      <w:r>
        <w:rPr>
          <w:color w:val="FF0000"/>
          <w:rtl w:val="1"/>
        </w:rPr>
        <w:t xml:space="preserve">وإنَّه قد أُوحِيَ إليَّ أنَّكم تُفتَنونَ في القُبورِ مِثلَ، أو قَريبًا من فِتْنةِ المَسِيحِ الدَّجّالِ،  </w:t>
      </w:r>
      <w:r>
        <w:rPr>
          <w:color w:val="FF0000"/>
          <w:rtl w:val="1"/>
        </w:rPr>
        <w:t xml:space="preserve">يُؤتَى أحدُكم فيُقالُ له: ما عِلمُكَ بهذا الرَّجلِ؟  </w:t>
      </w:r>
      <w:r>
        <w:rPr>
          <w:color w:val="FF0000"/>
          <w:rtl w:val="1"/>
        </w:rPr>
        <w:t xml:space="preserve">فأمَّا المؤمِنُ - أو قال: المُوقِنُ، شكَّ هشامٌ - فيقولُ: هو رسولُ الله، هو محمَّدٌ، جاءَنا بالبَيِّناتِ والهُدَى، فآمَنّا وأجَبْنا واتَّبَعْنا وصَدَّقْنا،  </w:t>
      </w:r>
      <w:r>
        <w:rPr>
          <w:color w:val="FF0000"/>
          <w:rtl w:val="1"/>
        </w:rPr>
        <w:t xml:space="preserve">فيُقالُ له: نَمْ صالحاً، قد كنَّا نَعْلَمُ إنْ كنتَ لَتُؤْمِنُ به.  </w:t>
      </w:r>
      <w:r>
        <w:rPr>
          <w:color w:val="FF0000"/>
          <w:rtl w:val="1"/>
        </w:rPr>
        <w:t xml:space="preserve">وأمَّا المنافقُ - أو قال: المُرْتابُ، شكَّ هشامٌ - فيُقالُ له: ما عِلمُكَ بهذا الرَّجلِ؟ فيقولُ: لا أدري، سمعتُ النّاسَ يقولونَ شيئًا فقلتُ».  </w:t>
      </w:r>
      <w:r>
        <w:rPr>
          <w:color w:val="000000"/>
          <w:rtl w:val="1"/>
        </w:rPr>
        <w:t xml:space="preserve">قال هشامٌ: فلقد قالت لي فاطمةُ فأوعَيتُه، غيرَ أنَّها ذَكَرَتْ ما يُغَلِّظُ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 xml:space="preserve">الشرح: الدلالة: طاعته ﷺ واتباع سنته وثواب من آمن به - فرضُ الإيمان به ﷺ ووجوب طاعته ... </w:t>
      </w:r>
    </w:p>
    <w:p>
      <w:pPr>
        <w:bidi w:val="1"/>
        <w:jc w:val="start"/>
      </w:pPr>
      <w:r>
        <w:rPr>
          <w:rtl w:val="1"/>
        </w:rPr>
        <w:t xml:space="preserve">الشرح: الدلالة: فتنة الرجل في قبره على الإيمان به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