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إفراد الحجّ-أول كتاب المناسك-سنن أبي داود — رقم الحديث: 1792 — الرقم الفرعي: 99 — الرقم الأصلي: 1792</w:t>
        <w:br/>
      </w:r>
      <w:r>
        <w:rPr>
          <w:rtl w:val="1"/>
        </w:rPr>
        <w:t xml:space="preserve"> حدثنا الحسن بن شوكر و أحمد بن منيع قالا:ثنا هشيم عن يزيد بن أبي زياد قال: قال ابن منيع أخبرنا يزيد بن أبي زياد ملاحظة المعنى عن مجاهد عن ابن عبّاس</w:t>
        <w:br/>
      </w:r>
      <w:r>
        <w:rPr>
          <w:color w:val="FF0000"/>
          <w:rtl w:val="1"/>
        </w:rPr>
        <w:t xml:space="preserve">قال: أهلَّ النبي ﷺ بالحجِّ،  </w:t>
      </w:r>
      <w:r>
        <w:rPr>
          <w:color w:val="FF0000"/>
          <w:rtl w:val="1"/>
        </w:rPr>
        <w:t xml:space="preserve">فلما قدم طاف بالبيت  </w:t>
      </w:r>
      <w:r>
        <w:rPr>
          <w:color w:val="FF0000"/>
          <w:rtl w:val="1"/>
        </w:rPr>
        <w:t xml:space="preserve">وبين الصفا والمروة –  </w:t>
      </w:r>
      <w:r>
        <w:rPr>
          <w:color w:val="000000"/>
          <w:rtl w:val="1"/>
        </w:rPr>
        <w:t xml:space="preserve">وقال ابن شَوْكر: ولم يقصِّرْ، ثم اتفقا –  </w:t>
      </w:r>
      <w:r>
        <w:rPr>
          <w:color w:val="000000"/>
          <w:rtl w:val="1"/>
        </w:rPr>
        <w:t xml:space="preserve">ولم يحِلّ مِن أجل الهدي،  </w:t>
      </w:r>
      <w:r>
        <w:rPr>
          <w:color w:val="FF0000"/>
          <w:rtl w:val="1"/>
        </w:rPr>
        <w:t xml:space="preserve">وأَمَرَ مَنْ لم يكُنْ ساقَ الهديَ أن يطوفَ، وأن يسعى ويُقصّر ثم يحِلَّ - زاد ابنُ منيعٍ في حديثه: أو يحلق ثم يُحِل -.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