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جاء في الهدي في المشي إلى الصلاة-كتاب الصلاة-سنن أبي داود — رقم الحديث: 562 — الرقم الفرعي: 99 — الرقم الأصلي: 562</w:t>
        <w:br/>
      </w:r>
      <w:r>
        <w:rPr>
          <w:rtl w:val="1"/>
        </w:rPr>
        <w:t xml:space="preserve"> حدثنا محمد بن سليمان الأنباريّ أنّ عبد الملك بن عمرو حدثهم عن داود بن قيس قال:حدثني سعد بن إسحاق حدثني أبو ثمامة الحناط</w:t>
        <w:br/>
      </w:r>
      <w:r>
        <w:rPr>
          <w:color w:val="000000"/>
          <w:rtl w:val="1"/>
        </w:rPr>
        <w:t xml:space="preserve">أنَّ كعبَ بنَ عُجْرةَ أَدركَهُ وهو يُريدُ المسجدَ، أدركَ أَحدُهما صاحبَه،  </w:t>
      </w:r>
      <w:r>
        <w:rPr>
          <w:color w:val="FF0000"/>
          <w:rtl w:val="1"/>
        </w:rPr>
        <w:t xml:space="preserve">قال: فوَجدَني وأنا مُشبِّكٌ بيدَيَّ، فنَهاني عن ذلك،  </w:t>
      </w:r>
      <w:r>
        <w:rPr>
          <w:color w:val="000000"/>
          <w:rtl w:val="1"/>
        </w:rPr>
        <w:t xml:space="preserve">وقال: إنَّ رسولَ الله ﷺ قال:  </w:t>
      </w:r>
      <w:r>
        <w:rPr>
          <w:color w:val="FF0000"/>
          <w:rtl w:val="1"/>
        </w:rPr>
        <w:t xml:space="preserve">«إذا تَوضَّأَ أَحدُكم فأَحسَنَ وُضوءَه، ثمَّ خرَجَ عامِدًا إلى المسجدِ فلا يُشَبِّكَنَّ يَدَيهِ، فإنّه في صَلاة». </w:t>
      </w:r>
    </w:p>
    <w:p>
      <w:pPr>
        <w:bidi w:val="1"/>
        <w:jc w:val="start"/>
      </w:pPr>
      <w:r>
        <w:rPr>
          <w:rtl w:val="1"/>
        </w:rPr>
        <w:t>درجة الحديث: ضعيف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الدعوة والأمر بالمعروف والنهي عن المنكر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الراعي والرعية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تقديم الخدمات العامة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ما ورد في تشبيك الأصابع في الصلاة -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