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22145 — الرقم الفرعي: 99 — الرقم الأصلي: 22145 — ج: 5 — ص: 249</w:t>
        <w:br/>
      </w:r>
      <w:r>
        <w:rPr>
          <w:rtl w:val="1"/>
        </w:rPr>
        <w:t xml:space="preserve"> حدثنا عبد الصمد ثنا حمّاد عن الجُريريّ عن أبي المثنى ملاحظة وهو لقيط بن المثنى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تَقومُ السّاعةُ حتى يَتحوَّلَ خِيارُ أَهلِ العراقِ إلى الشَّام، ويَتحوَّلَ شِرارُ أَهلِ الشَّامِ إلى العراق،  </w:t>
      </w:r>
      <w:r>
        <w:rPr>
          <w:color w:val="FF0000"/>
          <w:rtl w:val="1"/>
        </w:rPr>
        <w:t xml:space="preserve">وقال رسولُ الله ﷺ: «عليكُم بالشَّام». </w:t>
      </w:r>
      <w:r>
        <w:rPr>
          <w:color w:val="000000"/>
          <w:rtl w:val="1"/>
        </w:rPr>
        <w:t xml:space="preserve">قال أَبو عبدِ الرَّحمن: أَبو المَشّاء يقال له: لَقِيط، ويقولون: ابن المَشّاء، وأبو المَشّاء.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