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تقليد الهدي وإشعاره عند الإحرام-كتاب الحجّ-صحيح مسلم — رقم الحديث: 1243 — الرقم الفرعي: 99 — الرقم الأصلي: 1243</w:t>
        <w:br/>
      </w:r>
      <w:r>
        <w:rPr>
          <w:rtl w:val="1"/>
        </w:rPr>
        <w:t xml:space="preserve"> حدثنا محمد بن المثنى و ابن بشار جميعاً عن ابن أبي عديّ قال ابن المثنى حدثنا ابن أبي عديّ عن شعبة عن قتادة عن أبي حسّان عن ابن عباس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صَلَّى رسولُ اللهِ ﷺ الظُّهرَ بذِي الحُلَيفَةِ، ثمَّ دَعا بناقَتِه فأَشعَرَها في صَفحَةِ سَنامِها الأَيمَنِ، وسَلَتَ الدَّمَ، وقَلَّدَها نَعلَينِ، ثُمَّ رَكِبَ راحِلَتَه، فلَمَّا اسْتَوَت به على البَيدَاءِ أَهلَّ بالحَجِّ. </w:t>
      </w:r>
      <w:r>
        <w:rPr>
          <w:color w:val="000000"/>
          <w:rtl w:val="1"/>
        </w:rPr>
        <w:t xml:space="preserve">حدَّثَنا مُحَمَّدُ بنُ المُثَنَّى، حدَّثَنا مُعاذُ بنُ هِشامٍ، حدَّثَني أَبي، عَن قَتادَةَ، في هذا الإِسنَادِ بمَعنَى حَدِيثِ شُعبَةَ غَيرَ أَنَّه قال: إِنَّ نَبِيَّ اللهِ ﷺ لمَّا أَتى ذا الحُلَيفَةِ، ولَم يَقُل صَلَّى بها الظُّهرَ. 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p>
      <w:pPr>
        <w:bidi w:val="1"/>
        <w:jc w:val="start"/>
      </w:pPr>
      <w:r>
        <w:rPr>
          <w:rtl w:val="1"/>
        </w:rPr>
        <w:t>الشرح: الدلالة: المواقيت المكانية - مواقيت الحج</w:t>
      </w:r>
    </w:p>
    <w:p>
      <w:pPr>
        <w:bidi w:val="1"/>
        <w:jc w:val="start"/>
      </w:pPr>
      <w:r>
        <w:rPr>
          <w:rtl w:val="1"/>
        </w:rPr>
        <w:t>الشرح: الدلالة: سوق الهدي وتقليده وإشعاره واستخدامه - الهدي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