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817 — الرقم الفرعي: 99 — الرقم الأصلي: 817 — ج: 1 — ص: 281</w:t>
        <w:br/>
      </w:r>
      <w:r>
        <w:rPr>
          <w:rtl w:val="1"/>
        </w:rPr>
        <w:t xml:space="preserve"> حدثنا أحمد بن عبد الرحمن بن عقال الحرَّانيّ، حدثنا أبو جعفر النفيليّ، ح وحدثنا أبو عقيل أنس بن سلم الخولانيّ والحسين بن إسحاق التُّستَريّ، قالا: حدثنا أبو المعافى محمد بن وهب بن أبي كريمة الحرانيّ، حدثنا محمد بن سلمة، عن أبي عبد الرَّحيم، عن عبد الوهاب بن بُخت، عن سُليمان بن حَبيب المُحاربيّ، عن أسود بن أصرم المحاربيّ: </w:t>
        <w:br/>
      </w:r>
      <w:r>
        <w:rPr>
          <w:color w:val="000000"/>
          <w:rtl w:val="1"/>
        </w:rPr>
        <w:t xml:space="preserve">أنّه قدِمَ بإبلٍ له سِمانٍ إلى المدينةِ في زَمنِ قَحْلٍ وجُدوبٍ من الأرض، فلمّا رآها أهلُ المدينة عَجِبوا من سِمَنها،  </w:t>
      </w:r>
      <w:r>
        <w:rPr>
          <w:color w:val="FF0000"/>
          <w:rtl w:val="1"/>
        </w:rPr>
        <w:t xml:space="preserve">فذكرت ذلك للرسولِ ﷺ فأرسَلَ إليها رسولُ الله ﷺ فأُتي بها، فخرَجَ إليها فنظرَ إليها، فقال: «لِمَ جَلَبتَ إبِلَك هذه؟» قال: أَردتُ بها خادِمًا،  </w:t>
      </w:r>
      <w:r>
        <w:rPr>
          <w:color w:val="FF0000"/>
          <w:rtl w:val="1"/>
        </w:rPr>
        <w:t xml:space="preserve">فقال رسولُ الله ﷺ: «مَن عندَه خادم؟» فقال عثمانُ بن عفّان، رضي الله عنه: عندي يا رسولَ الله، قال: «فائتِ بها» فجاءَ بها عثمانُ،  </w:t>
      </w:r>
      <w:r>
        <w:rPr>
          <w:color w:val="FF0000"/>
          <w:rtl w:val="1"/>
        </w:rPr>
        <w:t xml:space="preserve">فلما رآها أَسودُ قال: مِثلَها أُريد، فقال: «عندك فخُذْها» فأَخذَها أَسودُ، وقَبَضَ رسولُ الله ﷺ إبِلَه،  </w:t>
      </w:r>
      <w:r>
        <w:rPr>
          <w:color w:val="000000"/>
          <w:rtl w:val="1"/>
        </w:rPr>
        <w:t xml:space="preserve">فقال أَسود: يا رسولَ الله، أَوصِنِي، قال: «هل تَملِكُ لِسانَك؟» قال: فما أَملِكُ إذا لم أَملِكْه؟ قال: «أفتَملِكُ يدَك؟» قال: فماذا أَملِكُ إذا لم أَملِكْ يدِي؟  </w:t>
      </w:r>
      <w:r>
        <w:rPr>
          <w:color w:val="000000"/>
          <w:rtl w:val="1"/>
        </w:rPr>
        <w:t xml:space="preserve">قال: «فلا تَقُل بلِسانِكَ إلّا معروفًا، ولا تَبسُط يدَك إلّا إلى خَير». </w:t>
      </w:r>
    </w:p>
    <w:p>
      <w:pPr>
        <w:bidi w:val="1"/>
        <w:jc w:val="start"/>
      </w:pPr>
      <w:r>
        <w:rPr>
          <w:rtl w:val="1"/>
        </w:rPr>
        <w:t>درجة الحديث: حسن</w:t>
      </w:r>
    </w:p>
    <w:p>
      <w:pPr>
        <w:bidi w:val="1"/>
        <w:jc w:val="start"/>
      </w:pPr>
      <w:r>
        <w:rPr>
          <w:rtl w:val="1"/>
        </w:rPr>
        <w:t>الشرح: الدلالة: شروط الثمن وما يصلح ثمنًا في البيع - الثمن</w:t>
      </w:r>
    </w:p>
    <w:p>
      <w:pPr>
        <w:bidi w:val="1"/>
        <w:jc w:val="start"/>
      </w:pPr>
      <w:r>
        <w:rPr>
          <w:rtl w:val="1"/>
        </w:rPr>
        <w:t>الشرح: الدلالة: بيع المقايضة - أقسام البيع باعتبار المبيع</w:t>
      </w:r>
    </w:p>
    <w:p>
      <w:pPr>
        <w:bidi w:val="1"/>
        <w:jc w:val="start"/>
      </w:pPr>
      <w:r>
        <w:rPr>
          <w:rtl w:val="1"/>
        </w:rPr>
        <w:t>الشرح: الدلالة: منجز الثمن - أقسام البيع باعتبار كيفية الثمن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