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اقتنى كلباً ليس بكلب صيدٍ أو ماشيةٍ-كتاب الذبائح-صحيح البخاري — رقم الحديث: 5480 — الرقم الفرعي: 99 — الرقم الأصلي: 5480</w:t>
        <w:br/>
      </w:r>
      <w:r>
        <w:rPr>
          <w:rtl w:val="1"/>
        </w:rPr>
        <w:t xml:space="preserve"> حدثنا موسى بن إسماعيل حدثنا عبد العزيز بن مسلم حدثنا عبد الله بن دينار قال:سمعت ابن عمر رضي الله عنهما عن النبي صلى الله عليه وسلم</w:t>
        <w:br/>
      </w:r>
      <w:r>
        <w:rPr>
          <w:color w:val="FF0000"/>
          <w:rtl w:val="1"/>
        </w:rPr>
        <w:t xml:space="preserve">قال: «مَن اقتَنَى كلباً ليس بكلبِ ماشِيةٍ أو ضاريةٍ، نَقَصَ كلَّ يومٍ من عَمَلِه قِيراطانِ».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مشروعية الصيد - الصيد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