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الإهلال مستقبل القِبلة-كتاب الحجّ-صحيح البخاري — رقم الحديث: 1553 — الرقم الفرعي: 99 — الرقم الأصلي: 1553</w:t>
        <w:br/>
      </w:r>
      <w:r>
        <w:rPr>
          <w:rtl w:val="1"/>
        </w:rPr>
        <w:t xml:space="preserve"> وقال أبو معمر حدثنا عبد الوارث حدثنا أيوب عن نافع قال:كان ابن عمر 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إذا صَلَّى بالغَدَاةِ بذي الحُلَيفةِ أمَرَ براحِلَتِه فرُحِلَتْ، ثمَّ رَكِبَ،  </w:t>
      </w:r>
      <w:r>
        <w:rPr>
          <w:color w:val="FF0000"/>
          <w:rtl w:val="1"/>
        </w:rPr>
        <w:t xml:space="preserve">فإذا استَوَتْ به استَقبَلَ القِبْلةَ قائمًا، ثمَّ يُلَبّي حتَّى يَبلُغَ المَحْرَمَ، ثمَّ يُمْسِكُ،  </w:t>
      </w:r>
      <w:r>
        <w:rPr>
          <w:color w:val="FF0000"/>
          <w:rtl w:val="1"/>
        </w:rPr>
        <w:t xml:space="preserve">حتَّى إذا جاءَ ذا طُوًى باتَ به حتَّى يُصبِحَ، فإذا صَلَّى الغَدَاةَ اغتَسَل، وزَعَمَ أنَّ رسولَ الله ﷺ فَعَلَ ذلكَ. </w:t>
      </w:r>
      <w:r>
        <w:rPr>
          <w:color w:val="000000"/>
          <w:rtl w:val="1"/>
        </w:rPr>
        <w:t xml:space="preserve">تابَعَه إسماعيلُ، عن أيوبَ في الغَسْلِ.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الإحرام ومكانه - أعمال العمرة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الرعاية الصحية والبيئية - رعاية الدولة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آداب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وقت دخول مكة - الدخول إلى مكة</w:t>
      </w:r>
    </w:p>
    <w:p>
      <w:pPr>
        <w:bidi w:val="1"/>
        <w:jc w:val="start"/>
      </w:pPr>
      <w:r>
        <w:rPr>
          <w:rtl w:val="1"/>
        </w:rPr>
        <w:t>الشرح: الدلالة: كيفية دخول مكة - الدخول إلى مكة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