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الرجل يجحد الطلاق-كتاب الطلاق-سنن ابن ماجة — رقم الحديث: 2038 — الرقم الفرعي: 99 — الرقم الأصلي: 2038</w:t>
        <w:br/>
      </w:r>
      <w:r>
        <w:rPr>
          <w:rtl w:val="1"/>
        </w:rPr>
        <w:t xml:space="preserve"> حدثنا محمد بن يحيى ثنا عمرو بن أبي سلمة أبو حفص التّنّيسيّ عن زهير عن ابن جريج عن عمرو بن شعيب عن أبيه عن جدّه عن النبيّ صلى الله عليه وسلم</w:t>
        <w:br/>
      </w:r>
      <w:r>
        <w:rPr>
          <w:color w:val="000000"/>
          <w:rtl w:val="1"/>
        </w:rPr>
        <w:t xml:space="preserve">قال:  </w:t>
      </w:r>
      <w:r>
        <w:rPr>
          <w:color w:val="FF0000"/>
          <w:rtl w:val="1"/>
        </w:rPr>
        <w:t xml:space="preserve">«إذا ادَّعت المَرأةُ طَلاقَ زَوجها، فجاءَت على ذلك بشاهدِ عَدلٍ، استُحلِفَ زَوجُها،  </w:t>
      </w:r>
      <w:r>
        <w:rPr>
          <w:color w:val="FF0000"/>
          <w:rtl w:val="1"/>
        </w:rPr>
        <w:t xml:space="preserve">فإن حَلَف بَطَلَت شهادةُ الشاهد،  </w:t>
      </w:r>
      <w:r>
        <w:rPr>
          <w:color w:val="FF0000"/>
          <w:rtl w:val="1"/>
        </w:rPr>
        <w:t xml:space="preserve">وإن نَكَلَ فنُكُولُه بمَنزلةِ شاهدٍ آخر،  </w:t>
      </w:r>
      <w:r>
        <w:rPr>
          <w:color w:val="FF0000"/>
          <w:rtl w:val="1"/>
        </w:rPr>
        <w:t xml:space="preserve">وجاز طلاقُه». </w:t>
      </w:r>
    </w:p>
    <w:p>
      <w:pPr>
        <w:bidi w:val="1"/>
        <w:jc w:val="start"/>
      </w:pPr>
      <w:r>
        <w:rPr>
          <w:rtl w:val="1"/>
        </w:rPr>
        <w:t xml:space="preserve">درجة الحديث: إسناده ضعيف </w:t>
      </w:r>
    </w:p>
    <w:p>
      <w:pPr>
        <w:bidi w:val="1"/>
        <w:jc w:val="start"/>
      </w:pPr>
      <w:r>
        <w:rPr>
          <w:rtl w:val="1"/>
        </w:rPr>
        <w:t>الشرح: الدلالة: اليمين والنكول</w:t>
      </w:r>
    </w:p>
    <w:p>
      <w:pPr>
        <w:bidi w:val="1"/>
        <w:jc w:val="start"/>
      </w:pPr>
      <w:r>
        <w:rPr>
          <w:rtl w:val="1"/>
        </w:rPr>
        <w:t>الشرح: الدلالة: شهادة الواحد - الشهادة</w:t>
      </w:r>
    </w:p>
    <w:p>
      <w:pPr>
        <w:bidi w:val="1"/>
        <w:jc w:val="start"/>
      </w:pPr>
      <w:r>
        <w:rPr>
          <w:rtl w:val="1"/>
        </w:rPr>
        <w:t>الشرح: الدلالة: اليمين على المدعى عليه - اليمين والنكول</w:t>
      </w:r>
    </w:p>
    <w:p>
      <w:pPr>
        <w:bidi w:val="1"/>
        <w:jc w:val="start"/>
      </w:pPr>
      <w:r>
        <w:rPr>
          <w:rtl w:val="1"/>
        </w:rPr>
        <w:t>الشرح: الدلالة: الحالات التي يقضى فيها باليمين - اليمين والنكول</w:t>
      </w:r>
    </w:p>
    <w:p>
      <w:pPr>
        <w:bidi w:val="1"/>
        <w:jc w:val="start"/>
      </w:pPr>
      <w:r>
        <w:rPr>
          <w:rtl w:val="1"/>
        </w:rPr>
        <w:t>الشرح: الدلالة: الحالات التي يقضى فيها بالنكول - اليمين والنكول</w:t>
      </w:r>
    </w:p>
    <w:p>
      <w:pPr>
        <w:bidi w:val="1"/>
        <w:jc w:val="start"/>
      </w:pPr>
      <w:r>
        <w:rPr>
          <w:rtl w:val="1"/>
        </w:rPr>
        <w:t>الشرح: الدلالة: الصحيح</w:t>
      </w:r>
    </w:p>
    <w:p>
      <w:pPr>
        <w:bidi w:val="1"/>
        <w:jc w:val="start"/>
      </w:pPr>
      <w:r>
        <w:rPr>
          <w:rtl w:val="1"/>
        </w:rPr>
        <w:t>الشرح: الدلالة: الإشهاد على الطلاق - الطلاق</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قاضي الأنكحة - أنواع المحاكم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