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 — الرقم الفرعي: 99 — الرقم الأصلي: 31 — ج: 1 — ص: 7</w:t>
        <w:br/>
      </w:r>
      <w:r>
        <w:rPr>
          <w:rtl w:val="1"/>
        </w:rPr>
        <w:t xml:space="preserve"> حدثنا يزيدُ قال: أخبرنا همّامٌ عن فرقدٍ السَّبَخيِّ و عَفَّانُ قال:حدثنا همّامٌ قال: أخبرنا فَرقدٌ عن مُرّة الطَّيِّبِ عن أبي بكر الصّدّيق عن النبيّ صلى الله عليه وسلم</w:t>
        <w:br/>
      </w:r>
      <w:r>
        <w:rPr>
          <w:color w:val="000000"/>
          <w:rtl w:val="1"/>
        </w:rPr>
        <w:t xml:space="preserve">قَالَ: «لَا يَدْخُلُ الْجَنَّةَ سَيِّءُ الْمَلَكَةِ».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