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220 — الرقم الفرعي: 99 — الرقم الأصلي: 220</w:t>
        <w:br/>
      </w:r>
      <w:r>
        <w:rPr>
          <w:rtl w:val="1"/>
        </w:rPr>
        <w:t xml:space="preserve"> حدثنا عتّاب بن زياد حدثنا عبد الله ملاحظة يعني ابن المبارك أخبرنا يونس عن الزهريّ عن السائب بن يزيد و عبيدالله بن عبد الله بن عتبة عن عبد الرحمن بن عبد عن عمر بن الخطاب ملاحظة قال عبد الله:وقد بلغ به أبي إلى النبيّ صلى الله عليه وسلم</w:t>
        <w:br/>
      </w:r>
      <w:r>
        <w:rPr>
          <w:color w:val="000000"/>
          <w:rtl w:val="1"/>
        </w:rPr>
        <w:t xml:space="preserve">قَالَ: «مَنْ فَاتَهُ شَيْءٌ مِنْ وِرْدهِ -أَوْ قَالَ: مِنْ حِزْبهِ- مِنَ اللَّيْلِ فَقَرَأهُ مَا بَيْنَ صَلاةِ الْفَجْرِ إِلَى الظُّهْرِ، فَكَأَنمَا قَرَأهُ مِنْ لَيْلَتِهِ».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